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CENTRALIZAÇÃO DA DISTRIBUIÇÃO E CUSTOS DE TRANSPORTE: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ESTUDO DE CASO DA AMBEV</w:t>
      </w:r>
      <w:r w:rsidR="00E9121E">
        <w:rPr>
          <w:rFonts w:cs="Times New Roman"/>
          <w:color w:val="000000"/>
        </w:rPr>
        <w:t xml:space="preserve"> - </w:t>
      </w:r>
      <w:proofErr w:type="spellStart"/>
      <w:r w:rsidRPr="005A530C">
        <w:rPr>
          <w:rFonts w:cs="Times New Roman"/>
          <w:color w:val="000000"/>
        </w:rPr>
        <w:t>Erik</w:t>
      </w:r>
      <w:proofErr w:type="spellEnd"/>
      <w:r w:rsidRPr="005A530C">
        <w:rPr>
          <w:rFonts w:cs="Times New Roman"/>
          <w:color w:val="000000"/>
        </w:rPr>
        <w:t xml:space="preserve"> Novaes de Almeida Silva</w:t>
      </w:r>
    </w:p>
    <w:p w:rsidR="005A530C" w:rsidRDefault="00E9121E" w:rsidP="005A53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DDDDDD"/>
        </w:rPr>
      </w:pPr>
      <w:r w:rsidRPr="00E9121E">
        <w:rPr>
          <w:rFonts w:cs="Times New Roman"/>
          <w:b/>
          <w:bCs/>
          <w:color w:val="000000"/>
          <w:sz w:val="20"/>
          <w:szCs w:val="20"/>
        </w:rPr>
        <w:t xml:space="preserve">Disponível em: </w:t>
      </w:r>
      <w:r w:rsidRPr="00E9121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DDDDDD"/>
        </w:rPr>
        <w:t> </w:t>
      </w:r>
      <w:hyperlink r:id="rId4" w:history="1">
        <w:r w:rsidRPr="00E9121E">
          <w:rPr>
            <w:rStyle w:val="Hyperlink"/>
            <w:rFonts w:ascii="Arial" w:hAnsi="Arial" w:cs="Arial"/>
            <w:color w:val="0000CC"/>
            <w:sz w:val="20"/>
            <w:szCs w:val="20"/>
          </w:rPr>
          <w:t>http://www.pet.coppe.ufrj.br/index.php/producao/dissertacoes-de-msc/doc_download/38-centralizacao-da-distribuicao-e-custos-de-transporte-estudo-de-caso-ambev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DDDDDD"/>
        </w:rPr>
        <w:t>.</w:t>
      </w:r>
    </w:p>
    <w:p w:rsidR="00E9121E" w:rsidRDefault="00E9121E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5A530C">
        <w:rPr>
          <w:rFonts w:cs="Times New Roman"/>
          <w:b/>
          <w:bCs/>
          <w:color w:val="000000"/>
        </w:rPr>
        <w:t xml:space="preserve"> SISTEMAS DE DISTRIBUIÇÃO FÍSICA URBANA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5A530C">
        <w:rPr>
          <w:rFonts w:cs="Times New Roman"/>
          <w:b/>
          <w:bCs/>
          <w:color w:val="000000"/>
        </w:rPr>
        <w:t xml:space="preserve"> Gerenciamento da Cadeia de Distribuição</w:t>
      </w:r>
    </w:p>
    <w:p w:rsidR="005A530C" w:rsidRPr="005A530C" w:rsidRDefault="005A530C" w:rsidP="00D82C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Para que as redes de distribuição se tornem mais eficientes na satisfação das</w:t>
      </w:r>
      <w:r w:rsidR="002908F2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exigências do usuário final, um alto nível de cooperação entre as organizações participantes</w:t>
      </w:r>
      <w:r w:rsidR="002908F2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e o reconhecimento da necessidade de tornar os relacionamentos mutuamente benéficos </w:t>
      </w:r>
      <w:proofErr w:type="gramStart"/>
      <w:r w:rsidRPr="005A530C">
        <w:rPr>
          <w:rFonts w:cs="Times New Roman"/>
          <w:color w:val="000000"/>
        </w:rPr>
        <w:t>são</w:t>
      </w:r>
      <w:r w:rsidR="002908F2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requeridos</w:t>
      </w:r>
      <w:proofErr w:type="gramEnd"/>
      <w:r w:rsidRPr="005A530C">
        <w:rPr>
          <w:rFonts w:cs="Times New Roman"/>
          <w:color w:val="000000"/>
        </w:rPr>
        <w:t xml:space="preserve">. 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5A530C">
        <w:rPr>
          <w:rFonts w:cs="Times New Roman"/>
          <w:b/>
          <w:bCs/>
          <w:color w:val="000000"/>
        </w:rPr>
        <w:t>Canais de Distribuição em Áreas Urbanas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 xml:space="preserve">Em busca da </w:t>
      </w:r>
      <w:proofErr w:type="gramStart"/>
      <w:r w:rsidRPr="005A530C">
        <w:rPr>
          <w:rFonts w:cs="Times New Roman"/>
          <w:color w:val="000000"/>
        </w:rPr>
        <w:t>otimização</w:t>
      </w:r>
      <w:proofErr w:type="gramEnd"/>
      <w:r w:rsidRPr="005A530C">
        <w:rPr>
          <w:rFonts w:cs="Times New Roman"/>
          <w:color w:val="000000"/>
        </w:rPr>
        <w:t xml:space="preserve"> da distribuição física de bens e serviços, análises</w:t>
      </w:r>
      <w:r w:rsidR="002908F2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complementares são exigidas quando o sistema ou a organização logística se encontra em</w:t>
      </w:r>
      <w:r w:rsidR="002908F2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áreas urbanas. </w:t>
      </w:r>
      <w:r w:rsidR="00D82C13">
        <w:rPr>
          <w:rFonts w:cs="Times New Roman"/>
          <w:color w:val="000000"/>
        </w:rPr>
        <w:t xml:space="preserve"> A</w:t>
      </w:r>
      <w:r w:rsidRPr="005A530C">
        <w:rPr>
          <w:rFonts w:cs="Times New Roman"/>
          <w:color w:val="000000"/>
        </w:rPr>
        <w:t>s particularidades das áreas urbanas</w:t>
      </w:r>
      <w:r w:rsidR="002908F2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influenciam diretamente as decisões de localização de centros de distribuição e as</w:t>
      </w:r>
      <w:r w:rsidR="002908F2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estratégias de </w:t>
      </w:r>
      <w:proofErr w:type="spellStart"/>
      <w:r w:rsidRPr="005A530C">
        <w:rPr>
          <w:rFonts w:cs="Times New Roman"/>
          <w:color w:val="000000"/>
        </w:rPr>
        <w:t>roteirização</w:t>
      </w:r>
      <w:proofErr w:type="spellEnd"/>
      <w:r w:rsidRPr="005A530C">
        <w:rPr>
          <w:rFonts w:cs="Times New Roman"/>
          <w:color w:val="000000"/>
        </w:rPr>
        <w:t xml:space="preserve"> de veículos a partir desses pontos.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No que se refere à localização de centros de distribuição em áreas urbanas, a</w:t>
      </w:r>
      <w:r w:rsidR="002908F2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importância do uso e ocupação do solo é ampliada por dois motivos, a saber:</w:t>
      </w:r>
    </w:p>
    <w:p w:rsidR="005A530C" w:rsidRPr="005A530C" w:rsidRDefault="005A530C" w:rsidP="002908F2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</w:rPr>
      </w:pPr>
      <w:proofErr w:type="spellStart"/>
      <w:r w:rsidRPr="005A530C">
        <w:rPr>
          <w:rFonts w:ascii="Arial" w:hAnsi="Arial" w:cs="Arial"/>
          <w:color w:val="000000"/>
        </w:rPr>
        <w:t>􀂃</w:t>
      </w:r>
      <w:proofErr w:type="spellEnd"/>
      <w:r w:rsidRPr="005A530C">
        <w:rPr>
          <w:rFonts w:cs="Wingdings-Regular"/>
          <w:color w:val="000000"/>
        </w:rPr>
        <w:t xml:space="preserve"> </w:t>
      </w:r>
      <w:r w:rsidRPr="005A530C">
        <w:rPr>
          <w:rFonts w:cs="Times New Roman"/>
          <w:color w:val="000000"/>
        </w:rPr>
        <w:t>Devido ao alto valor da terra, no curto prazo, muitas vezes proporcionado por</w:t>
      </w:r>
    </w:p>
    <w:p w:rsidR="005A530C" w:rsidRPr="005A530C" w:rsidRDefault="005A530C" w:rsidP="002908F2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</w:rPr>
      </w:pPr>
      <w:proofErr w:type="gramStart"/>
      <w:r w:rsidRPr="005A530C">
        <w:rPr>
          <w:rFonts w:cs="Times New Roman"/>
          <w:color w:val="000000"/>
        </w:rPr>
        <w:t>atividades</w:t>
      </w:r>
      <w:proofErr w:type="gramEnd"/>
      <w:r w:rsidRPr="005A530C">
        <w:rPr>
          <w:rFonts w:cs="Times New Roman"/>
          <w:color w:val="000000"/>
        </w:rPr>
        <w:t xml:space="preserve"> e movimentos especulativos (Resende, 2002);</w:t>
      </w:r>
    </w:p>
    <w:p w:rsidR="005A530C" w:rsidRPr="005A530C" w:rsidRDefault="005A530C" w:rsidP="002908F2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</w:rPr>
      </w:pPr>
      <w:proofErr w:type="spellStart"/>
      <w:r w:rsidRPr="005A530C">
        <w:rPr>
          <w:rFonts w:ascii="Arial" w:hAnsi="Arial" w:cs="Arial"/>
          <w:color w:val="000000"/>
        </w:rPr>
        <w:t>􀂃</w:t>
      </w:r>
      <w:proofErr w:type="spellEnd"/>
      <w:r w:rsidRPr="005A530C">
        <w:rPr>
          <w:rFonts w:cs="Wingdings-Regular"/>
          <w:color w:val="000000"/>
        </w:rPr>
        <w:t xml:space="preserve"> </w:t>
      </w:r>
      <w:r w:rsidRPr="005A530C">
        <w:rPr>
          <w:rFonts w:cs="Times New Roman"/>
          <w:color w:val="000000"/>
        </w:rPr>
        <w:t>Pela dinâmica urbana, no longo prazo, visto que determinadas áreas podem ser</w:t>
      </w:r>
    </w:p>
    <w:p w:rsidR="005A530C" w:rsidRPr="005A530C" w:rsidRDefault="005A530C" w:rsidP="002908F2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</w:rPr>
      </w:pPr>
      <w:proofErr w:type="gramStart"/>
      <w:r w:rsidRPr="005A530C">
        <w:rPr>
          <w:rFonts w:cs="Times New Roman"/>
          <w:color w:val="000000"/>
        </w:rPr>
        <w:t>preteridas</w:t>
      </w:r>
      <w:proofErr w:type="gramEnd"/>
      <w:r w:rsidRPr="005A530C">
        <w:rPr>
          <w:rFonts w:cs="Times New Roman"/>
          <w:color w:val="000000"/>
        </w:rPr>
        <w:t xml:space="preserve"> ou agraciadas em relação a serviços complementares, benefícios fiscais,</w:t>
      </w:r>
    </w:p>
    <w:p w:rsidR="005A530C" w:rsidRPr="005A530C" w:rsidRDefault="005A530C" w:rsidP="002908F2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</w:rPr>
      </w:pPr>
      <w:proofErr w:type="gramStart"/>
      <w:r w:rsidRPr="005A530C">
        <w:rPr>
          <w:rFonts w:cs="Times New Roman"/>
          <w:color w:val="000000"/>
        </w:rPr>
        <w:t>etc.</w:t>
      </w:r>
      <w:proofErr w:type="gramEnd"/>
    </w:p>
    <w:p w:rsidR="005A530C" w:rsidRPr="005A530C" w:rsidRDefault="005A530C" w:rsidP="002908F2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</w:rPr>
      </w:pPr>
      <w:proofErr w:type="spellStart"/>
      <w:r w:rsidRPr="005A530C">
        <w:rPr>
          <w:rFonts w:ascii="Arial" w:hAnsi="Arial" w:cs="Arial"/>
          <w:color w:val="000000"/>
        </w:rPr>
        <w:t>􀂃</w:t>
      </w:r>
      <w:proofErr w:type="spellEnd"/>
      <w:r w:rsidRPr="005A530C">
        <w:rPr>
          <w:rFonts w:cs="Wingdings-Regular"/>
          <w:color w:val="000000"/>
        </w:rPr>
        <w:t xml:space="preserve"> </w:t>
      </w:r>
      <w:r w:rsidRPr="005A530C">
        <w:rPr>
          <w:rFonts w:cs="Times New Roman"/>
          <w:color w:val="000000"/>
        </w:rPr>
        <w:t>Congestionamento</w:t>
      </w:r>
    </w:p>
    <w:p w:rsidR="005A530C" w:rsidRPr="005A530C" w:rsidRDefault="005A530C" w:rsidP="009D2CB4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</w:rPr>
      </w:pPr>
      <w:proofErr w:type="spellStart"/>
      <w:r w:rsidRPr="005A530C">
        <w:rPr>
          <w:rFonts w:ascii="Arial" w:hAnsi="Arial" w:cs="Arial"/>
          <w:color w:val="000000"/>
        </w:rPr>
        <w:t>􀂃</w:t>
      </w:r>
      <w:proofErr w:type="spellEnd"/>
      <w:r w:rsidRPr="005A530C">
        <w:rPr>
          <w:rFonts w:cs="Wingdings-Regular"/>
          <w:color w:val="000000"/>
        </w:rPr>
        <w:t xml:space="preserve"> </w:t>
      </w:r>
      <w:r w:rsidRPr="005A530C">
        <w:rPr>
          <w:rFonts w:cs="Times New Roman"/>
          <w:color w:val="000000"/>
        </w:rPr>
        <w:t>Segurança Operacional.</w:t>
      </w:r>
    </w:p>
    <w:p w:rsidR="005A530C" w:rsidRDefault="005A530C" w:rsidP="009D2CB4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</w:rPr>
      </w:pPr>
      <w:proofErr w:type="spellStart"/>
      <w:r w:rsidRPr="005A530C">
        <w:rPr>
          <w:rFonts w:ascii="Arial" w:hAnsi="Arial" w:cs="Arial"/>
          <w:color w:val="000000"/>
        </w:rPr>
        <w:t>􀂃</w:t>
      </w:r>
      <w:proofErr w:type="spellEnd"/>
      <w:r w:rsidRPr="005A530C">
        <w:rPr>
          <w:rFonts w:cs="Wingdings-Regular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Base </w:t>
      </w:r>
      <w:proofErr w:type="gramStart"/>
      <w:r w:rsidRPr="005A530C">
        <w:rPr>
          <w:rFonts w:cs="Times New Roman"/>
          <w:color w:val="000000"/>
        </w:rPr>
        <w:t>legal</w:t>
      </w:r>
      <w:r w:rsidR="009D2CB4">
        <w:rPr>
          <w:rFonts w:cs="Times New Roman"/>
          <w:color w:val="000000"/>
        </w:rPr>
        <w:t xml:space="preserve"> :</w:t>
      </w:r>
      <w:proofErr w:type="gramEnd"/>
      <w:r w:rsidRPr="005A530C">
        <w:rPr>
          <w:rFonts w:cs="Times New Roman"/>
          <w:color w:val="000000"/>
        </w:rPr>
        <w:t xml:space="preserve">É constituída por corredores com restrições para operação de carga e descarga. </w:t>
      </w:r>
    </w:p>
    <w:p w:rsidR="0029092C" w:rsidRPr="005A530C" w:rsidRDefault="0029092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5A530C">
        <w:rPr>
          <w:rFonts w:cs="Times New Roman"/>
          <w:b/>
          <w:bCs/>
          <w:color w:val="000000"/>
        </w:rPr>
        <w:t>Centros de Distribuição</w:t>
      </w:r>
    </w:p>
    <w:p w:rsid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O transporte, armazenagem e o manuseio das cargas representam um valor</w:t>
      </w:r>
      <w:r w:rsidR="009D2CB4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expressivo na cadeia total de custos logísticos. Em épocas de melhoria contínua de</w:t>
      </w:r>
      <w:r w:rsidR="00D04C6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processos, onde as empresas buscam</w:t>
      </w:r>
      <w:proofErr w:type="gramStart"/>
      <w:r w:rsidRPr="005A530C">
        <w:rPr>
          <w:rFonts w:cs="Times New Roman"/>
          <w:color w:val="000000"/>
        </w:rPr>
        <w:t xml:space="preserve"> </w:t>
      </w:r>
      <w:r w:rsidR="00042F56">
        <w:rPr>
          <w:rFonts w:cs="Times New Roman"/>
          <w:color w:val="000000"/>
        </w:rPr>
        <w:t xml:space="preserve"> </w:t>
      </w:r>
      <w:proofErr w:type="gramEnd"/>
      <w:r w:rsidR="00042F56">
        <w:rPr>
          <w:rFonts w:cs="Times New Roman"/>
          <w:color w:val="000000"/>
        </w:rPr>
        <w:t>i</w:t>
      </w:r>
      <w:r w:rsidRPr="005A530C">
        <w:rPr>
          <w:rFonts w:cs="Times New Roman"/>
          <w:color w:val="000000"/>
        </w:rPr>
        <w:t>ncessantemente reduzir custos, almejando resultados</w:t>
      </w:r>
      <w:r w:rsidR="00D04C6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financeiros mais favoráveis, torna-se importante analisar as vantagens e desvantagens das</w:t>
      </w:r>
      <w:r w:rsidR="00D04C6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diversas estratégias definidas na utilização de centros de distribuição.</w:t>
      </w:r>
    </w:p>
    <w:p w:rsidR="00FC55BE" w:rsidRDefault="00FC55BE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tbl>
      <w:tblPr>
        <w:tblStyle w:val="Tabelacomgrade"/>
        <w:tblW w:w="0" w:type="auto"/>
        <w:tblLook w:val="04A0"/>
      </w:tblPr>
      <w:tblGrid>
        <w:gridCol w:w="3259"/>
        <w:gridCol w:w="3259"/>
        <w:gridCol w:w="3260"/>
      </w:tblGrid>
      <w:tr w:rsidR="00FC55BE" w:rsidTr="00FC55BE">
        <w:tc>
          <w:tcPr>
            <w:tcW w:w="3259" w:type="dxa"/>
          </w:tcPr>
          <w:p w:rsidR="00FC55BE" w:rsidRDefault="00FC55BE" w:rsidP="00FC55B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b/>
                <w:bCs/>
                <w:color w:val="000000"/>
              </w:rPr>
              <w:t>Centro de Distribuição</w:t>
            </w:r>
            <w:proofErr w:type="gramStart"/>
            <w:r>
              <w:rPr>
                <w:rFonts w:cs="Times New Roman"/>
                <w:b/>
                <w:bCs/>
                <w:color w:val="000000"/>
              </w:rPr>
              <w:t xml:space="preserve">  </w:t>
            </w:r>
            <w:proofErr w:type="gramEnd"/>
            <w:r w:rsidRPr="005A530C">
              <w:rPr>
                <w:rFonts w:cs="Times New Roman"/>
                <w:b/>
                <w:bCs/>
                <w:color w:val="000000"/>
              </w:rPr>
              <w:t>Características</w:t>
            </w:r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59" w:type="dxa"/>
          </w:tcPr>
          <w:p w:rsidR="00FC55BE" w:rsidRDefault="00FC55BE" w:rsidP="005A530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b/>
                <w:bCs/>
                <w:color w:val="000000"/>
              </w:rPr>
              <w:t>Particular</w:t>
            </w:r>
          </w:p>
        </w:tc>
        <w:tc>
          <w:tcPr>
            <w:tcW w:w="3260" w:type="dxa"/>
          </w:tcPr>
          <w:p w:rsidR="00FC55BE" w:rsidRDefault="00FC55BE" w:rsidP="005A530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b/>
                <w:bCs/>
                <w:color w:val="000000"/>
              </w:rPr>
              <w:t>Contratados</w:t>
            </w:r>
          </w:p>
        </w:tc>
      </w:tr>
      <w:tr w:rsidR="00FC55BE" w:rsidTr="00FC55BE">
        <w:tc>
          <w:tcPr>
            <w:tcW w:w="3259" w:type="dxa"/>
          </w:tcPr>
          <w:p w:rsidR="00FC55BE" w:rsidRPr="006F484F" w:rsidRDefault="00FC55BE" w:rsidP="00AF1E4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F484F">
              <w:rPr>
                <w:rFonts w:cs="Times New Roman"/>
                <w:color w:val="000000"/>
              </w:rPr>
              <w:t xml:space="preserve">Investimento </w:t>
            </w:r>
          </w:p>
        </w:tc>
        <w:tc>
          <w:tcPr>
            <w:tcW w:w="3259" w:type="dxa"/>
          </w:tcPr>
          <w:p w:rsidR="00FC55BE" w:rsidRPr="006F484F" w:rsidRDefault="00FC55BE" w:rsidP="00AF1E4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F484F">
              <w:rPr>
                <w:rFonts w:cs="Times New Roman"/>
                <w:color w:val="000000"/>
              </w:rPr>
              <w:t xml:space="preserve">Fixo Alto </w:t>
            </w:r>
          </w:p>
        </w:tc>
        <w:tc>
          <w:tcPr>
            <w:tcW w:w="3260" w:type="dxa"/>
          </w:tcPr>
          <w:p w:rsidR="00FC55BE" w:rsidRPr="006F484F" w:rsidRDefault="00FC55BE" w:rsidP="00AF1E4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color w:val="000000"/>
              </w:rPr>
              <w:t>Sem investimento fixo</w:t>
            </w:r>
          </w:p>
        </w:tc>
      </w:tr>
      <w:tr w:rsidR="00FC55BE" w:rsidTr="00FC55BE">
        <w:tc>
          <w:tcPr>
            <w:tcW w:w="3259" w:type="dxa"/>
          </w:tcPr>
          <w:p w:rsidR="00FC55BE" w:rsidRPr="006F484F" w:rsidRDefault="00FC55BE" w:rsidP="00AF1E4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color w:val="000000"/>
              </w:rPr>
              <w:t>Custo Unitário</w:t>
            </w:r>
          </w:p>
        </w:tc>
        <w:tc>
          <w:tcPr>
            <w:tcW w:w="3259" w:type="dxa"/>
          </w:tcPr>
          <w:p w:rsidR="00FC55BE" w:rsidRPr="006F484F" w:rsidRDefault="00FC55BE" w:rsidP="00AF1E4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color w:val="000000"/>
              </w:rPr>
              <w:t>Alto, se o volume for baixo. Muito</w:t>
            </w:r>
            <w:r>
              <w:rPr>
                <w:rFonts w:cs="Times New Roman"/>
                <w:color w:val="000000"/>
              </w:rPr>
              <w:t xml:space="preserve"> </w:t>
            </w:r>
            <w:r w:rsidRPr="005A530C">
              <w:rPr>
                <w:rFonts w:cs="Times New Roman"/>
                <w:color w:val="000000"/>
              </w:rPr>
              <w:t>baixo, se o volume</w:t>
            </w:r>
          </w:p>
        </w:tc>
        <w:tc>
          <w:tcPr>
            <w:tcW w:w="3260" w:type="dxa"/>
          </w:tcPr>
          <w:p w:rsidR="00FC55BE" w:rsidRPr="005A530C" w:rsidRDefault="00FC55BE" w:rsidP="00FC55BE">
            <w:pPr>
              <w:autoSpaceDE w:val="0"/>
              <w:autoSpaceDN w:val="0"/>
              <w:adjustRightInd w:val="0"/>
              <w:ind w:left="2124" w:hanging="2124"/>
              <w:jc w:val="both"/>
              <w:rPr>
                <w:rFonts w:cs="Times New Roman"/>
                <w:color w:val="000000"/>
              </w:rPr>
            </w:pPr>
            <w:proofErr w:type="gramStart"/>
            <w:r w:rsidRPr="005A530C">
              <w:rPr>
                <w:rFonts w:cs="Times New Roman"/>
                <w:color w:val="000000"/>
              </w:rPr>
              <w:t>Paga-se</w:t>
            </w:r>
            <w:proofErr w:type="gramEnd"/>
            <w:r w:rsidRPr="005A530C">
              <w:rPr>
                <w:rFonts w:cs="Times New Roman"/>
                <w:color w:val="000000"/>
              </w:rPr>
              <w:t xml:space="preserve"> apenas pelo espaço</w:t>
            </w:r>
            <w:r>
              <w:rPr>
                <w:rFonts w:cs="Times New Roman"/>
                <w:color w:val="000000"/>
              </w:rPr>
              <w:t xml:space="preserve"> utilizado</w:t>
            </w:r>
          </w:p>
        </w:tc>
      </w:tr>
      <w:tr w:rsidR="00FC55BE" w:rsidTr="00FC55BE">
        <w:tc>
          <w:tcPr>
            <w:tcW w:w="3259" w:type="dxa"/>
          </w:tcPr>
          <w:p w:rsidR="00FC55BE" w:rsidRPr="005A530C" w:rsidRDefault="00FC55BE" w:rsidP="00AF1E4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color w:val="000000"/>
              </w:rPr>
              <w:t>Conhecimento de Custos</w:t>
            </w:r>
          </w:p>
        </w:tc>
        <w:tc>
          <w:tcPr>
            <w:tcW w:w="3259" w:type="dxa"/>
          </w:tcPr>
          <w:p w:rsidR="00FC55BE" w:rsidRPr="005A530C" w:rsidRDefault="00FC55BE" w:rsidP="00FC55B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color w:val="000000"/>
              </w:rPr>
              <w:t>Complexo</w:t>
            </w:r>
          </w:p>
        </w:tc>
        <w:tc>
          <w:tcPr>
            <w:tcW w:w="3260" w:type="dxa"/>
          </w:tcPr>
          <w:p w:rsidR="00FC55BE" w:rsidRPr="005A530C" w:rsidRDefault="00FC55BE" w:rsidP="00FC55BE">
            <w:pPr>
              <w:autoSpaceDE w:val="0"/>
              <w:autoSpaceDN w:val="0"/>
              <w:adjustRightInd w:val="0"/>
              <w:ind w:left="2124" w:hanging="2124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color w:val="000000"/>
              </w:rPr>
              <w:t>Simples</w:t>
            </w:r>
          </w:p>
        </w:tc>
      </w:tr>
      <w:tr w:rsidR="00FC55BE" w:rsidTr="00FC55BE">
        <w:tc>
          <w:tcPr>
            <w:tcW w:w="3259" w:type="dxa"/>
          </w:tcPr>
          <w:p w:rsidR="00FC55BE" w:rsidRPr="005A530C" w:rsidRDefault="00FC55BE" w:rsidP="00AF1E4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color w:val="000000"/>
              </w:rPr>
              <w:t>Controle Administrativo</w:t>
            </w:r>
          </w:p>
        </w:tc>
        <w:tc>
          <w:tcPr>
            <w:tcW w:w="3259" w:type="dxa"/>
          </w:tcPr>
          <w:p w:rsidR="00FC55BE" w:rsidRPr="005A530C" w:rsidRDefault="00FC55BE" w:rsidP="00FC55B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Alto</w:t>
            </w:r>
          </w:p>
        </w:tc>
        <w:tc>
          <w:tcPr>
            <w:tcW w:w="3260" w:type="dxa"/>
          </w:tcPr>
          <w:p w:rsidR="00FC55BE" w:rsidRPr="005A530C" w:rsidRDefault="00FC55BE" w:rsidP="00FC55BE">
            <w:pPr>
              <w:autoSpaceDE w:val="0"/>
              <w:autoSpaceDN w:val="0"/>
              <w:adjustRightInd w:val="0"/>
              <w:ind w:left="2124" w:hanging="2124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Baixo</w:t>
            </w:r>
          </w:p>
        </w:tc>
      </w:tr>
      <w:tr w:rsidR="00FC55BE" w:rsidTr="00FC55BE">
        <w:tc>
          <w:tcPr>
            <w:tcW w:w="3259" w:type="dxa"/>
          </w:tcPr>
          <w:p w:rsidR="00FC55BE" w:rsidRPr="005A530C" w:rsidRDefault="00FC55BE" w:rsidP="00AF1E4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color w:val="000000"/>
              </w:rPr>
              <w:t>Adequação à Linha de Produto</w:t>
            </w:r>
          </w:p>
        </w:tc>
        <w:tc>
          <w:tcPr>
            <w:tcW w:w="3259" w:type="dxa"/>
          </w:tcPr>
          <w:p w:rsidR="00FC55BE" w:rsidRDefault="00FC55BE" w:rsidP="00FC55B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color w:val="000000"/>
              </w:rPr>
              <w:t xml:space="preserve">Altíssima </w:t>
            </w:r>
          </w:p>
        </w:tc>
        <w:tc>
          <w:tcPr>
            <w:tcW w:w="3260" w:type="dxa"/>
          </w:tcPr>
          <w:p w:rsidR="00FC55BE" w:rsidRDefault="00FC55BE" w:rsidP="00FC55B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color w:val="000000"/>
              </w:rPr>
              <w:t>Pode não ser conveniente</w:t>
            </w:r>
          </w:p>
        </w:tc>
      </w:tr>
      <w:tr w:rsidR="00FC55BE" w:rsidTr="00FC55BE">
        <w:tc>
          <w:tcPr>
            <w:tcW w:w="3259" w:type="dxa"/>
          </w:tcPr>
          <w:p w:rsidR="00FC55BE" w:rsidRPr="005A530C" w:rsidRDefault="00FC55BE" w:rsidP="00FC55B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color w:val="000000"/>
              </w:rPr>
              <w:t>Flexibilidade</w:t>
            </w:r>
          </w:p>
          <w:p w:rsidR="00FC55BE" w:rsidRPr="005A530C" w:rsidRDefault="00FC55BE" w:rsidP="00AF1E4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3259" w:type="dxa"/>
          </w:tcPr>
          <w:p w:rsidR="00FC55BE" w:rsidRPr="005A530C" w:rsidRDefault="00FC55BE" w:rsidP="00FC55B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color w:val="000000"/>
              </w:rPr>
              <w:t>Baixa: custos fixos já foram</w:t>
            </w:r>
          </w:p>
          <w:p w:rsidR="00FC55BE" w:rsidRPr="005A530C" w:rsidRDefault="00FC55BE" w:rsidP="00FC55B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proofErr w:type="gramStart"/>
            <w:r w:rsidRPr="005A530C">
              <w:rPr>
                <w:rFonts w:cs="Times New Roman"/>
                <w:color w:val="000000"/>
              </w:rPr>
              <w:t>alocados</w:t>
            </w:r>
            <w:proofErr w:type="gramEnd"/>
          </w:p>
        </w:tc>
        <w:tc>
          <w:tcPr>
            <w:tcW w:w="3260" w:type="dxa"/>
          </w:tcPr>
          <w:p w:rsidR="00FC55BE" w:rsidRPr="005A530C" w:rsidRDefault="00FC55BE" w:rsidP="00FC55B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color w:val="000000"/>
              </w:rPr>
              <w:t>Alta: fácil mudança de contrato</w:t>
            </w:r>
          </w:p>
          <w:p w:rsidR="00FC55BE" w:rsidRPr="005A530C" w:rsidRDefault="00FC55BE" w:rsidP="00FC55B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</w:tr>
      <w:tr w:rsidR="00FC55BE" w:rsidTr="00FC55BE">
        <w:tc>
          <w:tcPr>
            <w:tcW w:w="3259" w:type="dxa"/>
          </w:tcPr>
          <w:p w:rsidR="00FC55BE" w:rsidRPr="005A530C" w:rsidRDefault="00FC55BE" w:rsidP="00FC55B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color w:val="000000"/>
              </w:rPr>
              <w:t>Pessoal</w:t>
            </w:r>
          </w:p>
        </w:tc>
        <w:tc>
          <w:tcPr>
            <w:tcW w:w="3259" w:type="dxa"/>
          </w:tcPr>
          <w:p w:rsidR="00FC55BE" w:rsidRPr="005A530C" w:rsidRDefault="00FC55BE" w:rsidP="00FC55B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color w:val="000000"/>
              </w:rPr>
              <w:t>Especializado</w:t>
            </w:r>
          </w:p>
        </w:tc>
        <w:tc>
          <w:tcPr>
            <w:tcW w:w="3260" w:type="dxa"/>
          </w:tcPr>
          <w:p w:rsidR="00FC55BE" w:rsidRPr="005A530C" w:rsidRDefault="00FC55BE" w:rsidP="00FC55B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5A530C">
              <w:rPr>
                <w:rFonts w:cs="Times New Roman"/>
                <w:color w:val="000000"/>
              </w:rPr>
              <w:t>Não especializado</w:t>
            </w:r>
          </w:p>
        </w:tc>
      </w:tr>
    </w:tbl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b/>
          <w:bCs/>
          <w:color w:val="000000"/>
        </w:rPr>
        <w:t xml:space="preserve">Quadro </w:t>
      </w:r>
      <w:proofErr w:type="gramStart"/>
      <w:r w:rsidRPr="005A530C">
        <w:rPr>
          <w:rFonts w:cs="Times New Roman"/>
          <w:b/>
          <w:bCs/>
          <w:color w:val="000000"/>
        </w:rPr>
        <w:t>1</w:t>
      </w:r>
      <w:proofErr w:type="gramEnd"/>
      <w:r w:rsidRPr="005A530C">
        <w:rPr>
          <w:rFonts w:cs="Times New Roman"/>
          <w:b/>
          <w:bCs/>
          <w:color w:val="000000"/>
        </w:rPr>
        <w:t xml:space="preserve">: </w:t>
      </w:r>
      <w:r w:rsidRPr="005A530C">
        <w:rPr>
          <w:rFonts w:cs="Times New Roman"/>
          <w:color w:val="000000"/>
        </w:rPr>
        <w:t>Comparação entre centros de distribuição próprios e contratados.</w:t>
      </w:r>
      <w:r w:rsidR="00042F56">
        <w:rPr>
          <w:rFonts w:cs="Times New Roman"/>
          <w:color w:val="000000"/>
        </w:rPr>
        <w:t xml:space="preserve"> </w:t>
      </w:r>
      <w:r w:rsidRPr="005A530C">
        <w:rPr>
          <w:rFonts w:cs="Times New Roman"/>
          <w:b/>
          <w:bCs/>
          <w:color w:val="000000"/>
        </w:rPr>
        <w:t xml:space="preserve">Fonte: </w:t>
      </w:r>
      <w:proofErr w:type="spellStart"/>
      <w:r w:rsidRPr="005A530C">
        <w:rPr>
          <w:rFonts w:cs="Times New Roman"/>
          <w:color w:val="000000"/>
        </w:rPr>
        <w:t>Ballou</w:t>
      </w:r>
      <w:proofErr w:type="spellEnd"/>
      <w:r w:rsidRPr="005A530C">
        <w:rPr>
          <w:rFonts w:cs="Times New Roman"/>
          <w:color w:val="000000"/>
        </w:rPr>
        <w:t xml:space="preserve"> (1999).</w:t>
      </w:r>
    </w:p>
    <w:p w:rsidR="00042F56" w:rsidRDefault="00042F56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5A530C">
        <w:rPr>
          <w:rFonts w:cs="Times New Roman"/>
          <w:b/>
          <w:bCs/>
          <w:color w:val="000000"/>
        </w:rPr>
        <w:t>Estratégias de Localização de Centros de Distribuição</w:t>
      </w:r>
    </w:p>
    <w:p w:rsid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Um dos pontos fundamentais para o sucesso de um sistema logístico é a eficácia na</w:t>
      </w:r>
      <w:r w:rsidR="00DA5C56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determinação da quantidade e localização dos centros de distribuição envolvidos. </w:t>
      </w:r>
      <w:r w:rsidR="00853337">
        <w:rPr>
          <w:rFonts w:cs="Times New Roman"/>
          <w:color w:val="000000"/>
        </w:rPr>
        <w:t>O</w:t>
      </w:r>
      <w:r w:rsidRPr="005A530C">
        <w:rPr>
          <w:rFonts w:cs="Times New Roman"/>
          <w:color w:val="000000"/>
        </w:rPr>
        <w:t>s centros de distribuição podem ser:</w:t>
      </w:r>
    </w:p>
    <w:p w:rsidR="00853337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Orientados para a Produção</w:t>
      </w:r>
      <w:r w:rsidR="00853337">
        <w:rPr>
          <w:rFonts w:cs="Times New Roman"/>
          <w:color w:val="000000"/>
        </w:rPr>
        <w:t xml:space="preserve"> =E</w:t>
      </w:r>
      <w:r w:rsidRPr="005A530C">
        <w:rPr>
          <w:rFonts w:cs="Times New Roman"/>
          <w:color w:val="000000"/>
        </w:rPr>
        <w:t>stabelecidos próximos à planta industrial, funcionam como concentradores da</w:t>
      </w:r>
      <w:r w:rsidR="00DA5C56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produção dos fornecedores, </w:t>
      </w:r>
    </w:p>
    <w:p w:rsidR="008A28F7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lastRenderedPageBreak/>
        <w:t xml:space="preserve">• </w:t>
      </w:r>
      <w:r w:rsidRPr="005A530C">
        <w:rPr>
          <w:rFonts w:cs="Times New Roman"/>
          <w:color w:val="000000"/>
        </w:rPr>
        <w:t>Orientados para o Mercado</w:t>
      </w:r>
      <w:r w:rsidR="00853337">
        <w:rPr>
          <w:rFonts w:cs="Times New Roman"/>
          <w:color w:val="000000"/>
        </w:rPr>
        <w:t xml:space="preserve"> =</w:t>
      </w:r>
      <w:r w:rsidRPr="005A530C">
        <w:rPr>
          <w:rFonts w:cs="Times New Roman"/>
          <w:color w:val="000000"/>
        </w:rPr>
        <w:t>Depósitos localizados próximos aos grandes mercados consumidores, dedicam</w:t>
      </w:r>
      <w:r w:rsidR="00DA5C56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se</w:t>
      </w:r>
      <w:r w:rsidR="00DA5C56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ao </w:t>
      </w:r>
      <w:proofErr w:type="spellStart"/>
      <w:r w:rsidRPr="005A530C">
        <w:rPr>
          <w:rFonts w:cs="Times New Roman"/>
          <w:color w:val="000000"/>
        </w:rPr>
        <w:t>ressuprimento</w:t>
      </w:r>
      <w:proofErr w:type="spellEnd"/>
      <w:r w:rsidRPr="005A530C">
        <w:rPr>
          <w:rFonts w:cs="Times New Roman"/>
          <w:color w:val="000000"/>
        </w:rPr>
        <w:t xml:space="preserve"> do estoque dos clientes</w:t>
      </w:r>
    </w:p>
    <w:p w:rsidR="005A530C" w:rsidRPr="005A530C" w:rsidRDefault="005A530C" w:rsidP="0085333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Intermediários</w:t>
      </w:r>
      <w:r w:rsidR="00853337">
        <w:rPr>
          <w:rFonts w:cs="Times New Roman"/>
          <w:color w:val="000000"/>
        </w:rPr>
        <w:t xml:space="preserve"> = </w:t>
      </w:r>
      <w:r w:rsidRPr="005A530C">
        <w:rPr>
          <w:rFonts w:cs="Times New Roman"/>
          <w:color w:val="000000"/>
        </w:rPr>
        <w:t>São centros híbridos, funcionando entre a área industrial e o mercado</w:t>
      </w:r>
      <w:r w:rsidR="00DA5C56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consumidor. 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5A530C">
        <w:rPr>
          <w:rFonts w:cs="Times New Roman"/>
          <w:b/>
          <w:bCs/>
          <w:color w:val="000000"/>
        </w:rPr>
        <w:t>Movimentação e Armazenagem</w:t>
      </w:r>
    </w:p>
    <w:p w:rsid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A manutenção de estoques gera a necessidade de armazenagem e,</w:t>
      </w:r>
      <w:r w:rsidR="008928B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conseqüentemente, do manuseio de materiais. O principal objetivo dessas atividades é</w:t>
      </w:r>
      <w:r w:rsidR="008928B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garantir o fluxo de produtos, de maneira ordenada e eficiente, em uma cadeia de</w:t>
      </w:r>
      <w:r w:rsidR="008928B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suprimentos, </w:t>
      </w:r>
      <w:proofErr w:type="gramStart"/>
      <w:r w:rsidRPr="005A530C">
        <w:rPr>
          <w:rFonts w:cs="Times New Roman"/>
          <w:color w:val="000000"/>
        </w:rPr>
        <w:t>otimizando</w:t>
      </w:r>
      <w:proofErr w:type="gramEnd"/>
      <w:r w:rsidRPr="005A530C">
        <w:rPr>
          <w:rFonts w:cs="Times New Roman"/>
          <w:color w:val="000000"/>
        </w:rPr>
        <w:t xml:space="preserve"> os custos em cada etapa processo.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</w:rPr>
      </w:pPr>
      <w:r w:rsidRPr="005A530C">
        <w:rPr>
          <w:rFonts w:cs="Times New Roman"/>
          <w:b/>
          <w:bCs/>
          <w:i/>
          <w:iCs/>
          <w:color w:val="000000"/>
        </w:rPr>
        <w:t>Custos de Movimentação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As atividades de movimentação, por serem preponderantemente manuais e estarem</w:t>
      </w:r>
      <w:r w:rsidR="008928B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diretamente vinculadas à produtividade da mão-de-obra, são, geralmente, as mais sensíveis</w:t>
      </w:r>
      <w:r w:rsidR="008928B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dentro de todo o sistema logístico.</w:t>
      </w:r>
      <w:r w:rsidR="00A66636">
        <w:rPr>
          <w:rFonts w:cs="Times New Roman"/>
          <w:color w:val="000000"/>
        </w:rPr>
        <w:t xml:space="preserve">  </w:t>
      </w:r>
      <w:r w:rsidRPr="005A530C">
        <w:rPr>
          <w:rFonts w:cs="Times New Roman"/>
          <w:color w:val="000000"/>
        </w:rPr>
        <w:t>A atividade de movimentação engloba os seguintes processos: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Recebimento de produtos</w:t>
      </w:r>
      <w:r w:rsidR="008928B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 primeira atividade de movimentação de materiais é a descarga de</w:t>
      </w:r>
      <w:r w:rsidR="008928B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veículos, seja ela manual ou mecanizada.</w:t>
      </w:r>
    </w:p>
    <w:p w:rsidR="005A530C" w:rsidRPr="005A530C" w:rsidRDefault="005A530C" w:rsidP="0085333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proofErr w:type="gramStart"/>
      <w:r w:rsidRPr="005A530C">
        <w:rPr>
          <w:rFonts w:cs="Times New Roman"/>
          <w:color w:val="000000"/>
        </w:rPr>
        <w:t>Transporte interno e endereçamento dos estoques</w:t>
      </w:r>
      <w:r w:rsidR="008928B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Inclui</w:t>
      </w:r>
      <w:proofErr w:type="gramEnd"/>
      <w:r w:rsidRPr="005A530C">
        <w:rPr>
          <w:rFonts w:cs="Times New Roman"/>
          <w:color w:val="000000"/>
        </w:rPr>
        <w:t xml:space="preserve"> toda movimentação dentro do armazém, 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Embalagem</w:t>
      </w:r>
      <w:r w:rsidR="008928B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A forma mais comum de embalagem é a </w:t>
      </w:r>
      <w:proofErr w:type="spellStart"/>
      <w:proofErr w:type="gramStart"/>
      <w:r w:rsidRPr="005A530C">
        <w:rPr>
          <w:rFonts w:cs="Times New Roman"/>
          <w:color w:val="000000"/>
        </w:rPr>
        <w:t>unitização</w:t>
      </w:r>
      <w:proofErr w:type="spellEnd"/>
      <w:r w:rsidRPr="005A530C">
        <w:rPr>
          <w:rFonts w:cs="Times New Roman"/>
          <w:color w:val="000000"/>
        </w:rPr>
        <w:t xml:space="preserve"> –são</w:t>
      </w:r>
      <w:proofErr w:type="gramEnd"/>
      <w:r w:rsidRPr="005A530C">
        <w:rPr>
          <w:rFonts w:cs="Times New Roman"/>
          <w:color w:val="000000"/>
        </w:rPr>
        <w:t xml:space="preserve"> os </w:t>
      </w:r>
      <w:proofErr w:type="spellStart"/>
      <w:r w:rsidRPr="005A530C">
        <w:rPr>
          <w:rFonts w:cs="Times New Roman"/>
          <w:color w:val="000000"/>
        </w:rPr>
        <w:t>paletes</w:t>
      </w:r>
      <w:proofErr w:type="spellEnd"/>
      <w:r w:rsidRPr="005A530C">
        <w:rPr>
          <w:rFonts w:cs="Times New Roman"/>
          <w:color w:val="000000"/>
        </w:rPr>
        <w:t xml:space="preserve"> e os </w:t>
      </w:r>
      <w:proofErr w:type="spellStart"/>
      <w:r w:rsidRPr="005A530C">
        <w:rPr>
          <w:rFonts w:cs="Times New Roman"/>
          <w:color w:val="000000"/>
        </w:rPr>
        <w:t>conteineres</w:t>
      </w:r>
      <w:proofErr w:type="spellEnd"/>
      <w:r w:rsidRPr="005A530C">
        <w:rPr>
          <w:rFonts w:cs="Times New Roman"/>
          <w:color w:val="000000"/>
        </w:rPr>
        <w:t>.</w:t>
      </w:r>
    </w:p>
    <w:p w:rsidR="005A530C" w:rsidRPr="005A530C" w:rsidRDefault="005A530C" w:rsidP="0085333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Separação e expedição de pedidos.</w:t>
      </w:r>
      <w:r w:rsidR="008928B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 atividade de separação agrupa materiais, peças e produtos em função dos</w:t>
      </w:r>
      <w:r w:rsidR="008928B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pedidos dos clientes. </w:t>
      </w:r>
    </w:p>
    <w:p w:rsidR="00E9121E" w:rsidRDefault="00E9121E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E9121E" w:rsidRDefault="00E9121E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66636">
        <w:rPr>
          <w:rFonts w:cs="Times New Roman"/>
          <w:b/>
          <w:color w:val="000000"/>
        </w:rPr>
        <w:t xml:space="preserve">Modelo de Abastecimento / Distribuição AMBEV </w:t>
      </w:r>
    </w:p>
    <w:p w:rsidR="005A530C" w:rsidRPr="005A530C" w:rsidRDefault="005A530C" w:rsidP="00E9121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Após a fusão, a empresa optou por estruturar sua área de distribuição através de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uma combinação de Centros de Distribuição Direta e Revendas. Dentre as revendas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remanescentes, a AmBev desenvolveu e expandiu o conceito de revendas bi e </w:t>
      </w:r>
      <w:proofErr w:type="spellStart"/>
      <w:r w:rsidRPr="005A530C">
        <w:rPr>
          <w:rFonts w:cs="Times New Roman"/>
          <w:color w:val="000000"/>
        </w:rPr>
        <w:t>trimarca</w:t>
      </w:r>
      <w:proofErr w:type="spellEnd"/>
      <w:r w:rsidRPr="005A530C">
        <w:rPr>
          <w:rFonts w:cs="Times New Roman"/>
          <w:color w:val="000000"/>
        </w:rPr>
        <w:t>, ou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seja, revendas que distribuem os produtos de duas ou três das principais marcas da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comercializadas (Brahma, Antarctica e Skol). 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5A530C">
        <w:rPr>
          <w:rFonts w:cs="Times New Roman"/>
          <w:b/>
          <w:bCs/>
          <w:color w:val="000000"/>
        </w:rPr>
        <w:t>Características dos Centros de Distribuição Direta AmBev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A diminuição do número de revendas operantes foi acompanhada, em um primeiro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momento, por movimento oposto em relação ao número de Centros de Distribuição Direta.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Desde o surgimento do primeiro CDD, em 1996, seu crescimento anual foi acentuado até o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ano 2000, quando havia 48 destes em operação. Com a reestruturação das áreas de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atendimento e aumento do volume médio distribuído, também a estrutura de distribuição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direta sofreu reduções, havendo a eliminação de 16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 xml:space="preserve"> até 2003. A partir desse ano,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percebe-se novamente o aumento do número de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 xml:space="preserve"> que, em 2005 passam a ser 41.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Marques (2000) explica que com a migração da distribuição terceirizada para a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distribuição própria, através dos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>, tem-se, em média, um incremento de 5% no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volume vendido, considerando-se a mesma área de atendimento, além de 9% no valor final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de venda dos produtos. Esses ganhos ocorrem devido </w:t>
      </w:r>
      <w:proofErr w:type="gramStart"/>
      <w:r w:rsidRPr="005A530C">
        <w:rPr>
          <w:rFonts w:cs="Times New Roman"/>
          <w:color w:val="000000"/>
        </w:rPr>
        <w:t>a</w:t>
      </w:r>
      <w:proofErr w:type="gramEnd"/>
      <w:r w:rsidRPr="005A530C">
        <w:rPr>
          <w:rFonts w:cs="Times New Roman"/>
          <w:color w:val="000000"/>
        </w:rPr>
        <w:t xml:space="preserve"> utilização da </w:t>
      </w:r>
      <w:r w:rsidRPr="005A530C">
        <w:rPr>
          <w:rFonts w:cs="Times New Roman"/>
          <w:i/>
          <w:iCs/>
          <w:color w:val="000000"/>
        </w:rPr>
        <w:t xml:space="preserve">expertise </w:t>
      </w:r>
      <w:r w:rsidRPr="005A530C">
        <w:rPr>
          <w:rFonts w:cs="Times New Roman"/>
          <w:color w:val="000000"/>
        </w:rPr>
        <w:t>e das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ferramentas de vendas da Companhia, além da maior cobrança por resultados. Em conseqüência da estratégia adotada, o volume médio distribuído pela rede de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distribuição AmBev (revendas e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>) aumentou 137% quando comparados os anos 2005</w:t>
      </w:r>
      <w:proofErr w:type="gramStart"/>
      <w:r w:rsidR="00853337">
        <w:rPr>
          <w:rFonts w:cs="Times New Roman"/>
          <w:color w:val="000000"/>
        </w:rPr>
        <w:t xml:space="preserve">  </w:t>
      </w:r>
      <w:proofErr w:type="gramEnd"/>
      <w:r w:rsidRPr="005A530C">
        <w:rPr>
          <w:rFonts w:cs="Times New Roman"/>
          <w:color w:val="000000"/>
        </w:rPr>
        <w:t>e 2000. No entanto, nota-se que enquanto o volume distribuído pela rede própria passou a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representar 49% do total vendido pela companhia, o volume das revendas foi</w:t>
      </w:r>
      <w:r w:rsidR="007555D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consideravelmente reduzido para 51% do total, já que em 2000 respondia por 77%.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No início das operações dos Centros de Distribuição Direta, as áreas de atendimento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localizavam-se geograficamente próximas das fontes de produção. Isso explica o fato de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que de que 25% dos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 xml:space="preserve"> em operação são “internos” a uma fábrica, ou seja, utilizam a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estrutura e área da fábrica para se estabelecer. Além disso, essa modalidade de CDD incorre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em custos de transportes reduzidos, pois apenas realiza a transferência daqueles itens não</w:t>
      </w:r>
      <w:r w:rsidR="007555D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produzidos em sua fábrica-mãe. Esses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 xml:space="preserve"> são denominados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 xml:space="preserve"> Internos, enquanto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aqueles que possuem área própria e independente de uma fábrica são denominados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Externos.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No entanto, o aumento dos volumes distribuídos e das áreas atendidas, tornou a</w:t>
      </w:r>
      <w:r w:rsidR="00853337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proximidade com a unidade produtora menos viável e a estratégia de localização dos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buscou estabelecê-los próximos aos mercados consumidores. É interessante voltar a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destacar que os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 xml:space="preserve"> internos estão localizados em fábricas próximas do mercado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consumidor, </w:t>
      </w:r>
      <w:proofErr w:type="spellStart"/>
      <w:r w:rsidRPr="005A530C">
        <w:rPr>
          <w:rFonts w:cs="Times New Roman"/>
          <w:color w:val="000000"/>
        </w:rPr>
        <w:t>frequentemente</w:t>
      </w:r>
      <w:proofErr w:type="spellEnd"/>
      <w:r w:rsidRPr="005A530C">
        <w:rPr>
          <w:rFonts w:cs="Times New Roman"/>
          <w:color w:val="000000"/>
        </w:rPr>
        <w:t xml:space="preserve"> localizadas em grandes centros urbanos, o que fortalece a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proposta de centros de distribuição orientados para o mercado.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O crescimento do número de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 xml:space="preserve"> Externos tornou necessário o desenvolvimento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de novas estratégias operacionais de distribuição que buscaram, principalmente, reduzir os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custos de transportes e </w:t>
      </w:r>
      <w:r w:rsidR="00EA0E7B">
        <w:rPr>
          <w:rFonts w:cs="Times New Roman"/>
          <w:color w:val="000000"/>
        </w:rPr>
        <w:t>a</w:t>
      </w:r>
      <w:r w:rsidRPr="005A530C">
        <w:rPr>
          <w:rFonts w:cs="Times New Roman"/>
          <w:color w:val="000000"/>
        </w:rPr>
        <w:t>rmazenagem decorrentes de operações de abastecimento dos</w:t>
      </w:r>
      <w:r w:rsidR="007F1D0A">
        <w:rPr>
          <w:rFonts w:cs="Times New Roman"/>
          <w:color w:val="000000"/>
        </w:rPr>
        <w:t xml:space="preserve">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 xml:space="preserve">. Uma das estratégias adotadas </w:t>
      </w:r>
      <w:proofErr w:type="spellStart"/>
      <w:r w:rsidRPr="005A530C">
        <w:rPr>
          <w:rFonts w:cs="Times New Roman"/>
          <w:color w:val="000000"/>
        </w:rPr>
        <w:t>foia</w:t>
      </w:r>
      <w:proofErr w:type="spellEnd"/>
      <w:r w:rsidRPr="005A530C">
        <w:rPr>
          <w:rFonts w:cs="Times New Roman"/>
          <w:color w:val="000000"/>
        </w:rPr>
        <w:t xml:space="preserve"> a </w:t>
      </w:r>
      <w:r w:rsidRPr="005A530C">
        <w:rPr>
          <w:rFonts w:cs="Times New Roman"/>
          <w:color w:val="000000"/>
        </w:rPr>
        <w:lastRenderedPageBreak/>
        <w:t>de Pontos de Apoio, que combinou a estrutura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de distribuição direta (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>), onde os produtos são expedidos diretamente do armazém</w:t>
      </w:r>
      <w:r w:rsidR="00EA0E7B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para o mercado consumidor, com a distribuição através de depósitos intermediários. Os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depósitos intermediários</w:t>
      </w:r>
      <w:proofErr w:type="gramStart"/>
      <w:r w:rsidRPr="005A530C">
        <w:rPr>
          <w:rFonts w:cs="Times New Roman"/>
          <w:color w:val="000000"/>
        </w:rPr>
        <w:t>, permitem</w:t>
      </w:r>
      <w:proofErr w:type="gramEnd"/>
      <w:r w:rsidRPr="005A530C">
        <w:rPr>
          <w:rFonts w:cs="Times New Roman"/>
          <w:color w:val="000000"/>
        </w:rPr>
        <w:t xml:space="preserve"> um rápido fluxo de produtos, com a manutenção de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estoques em níveis reduzidos. Esta alternativa possibilitou a minimização dos problemas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causados nos casos em que um CDD atende mercados distantes.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 xml:space="preserve">Nos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 xml:space="preserve"> Externos, um nível pré-determinado de cada um dos produtos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comercializados é mantido em seu estoque e, sempre que as quantidades armazenadas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atingem o ponto de </w:t>
      </w:r>
      <w:proofErr w:type="spellStart"/>
      <w:r w:rsidRPr="005A530C">
        <w:rPr>
          <w:rFonts w:cs="Times New Roman"/>
          <w:color w:val="000000"/>
        </w:rPr>
        <w:t>ressuprimento</w:t>
      </w:r>
      <w:proofErr w:type="spellEnd"/>
      <w:r w:rsidRPr="005A530C">
        <w:rPr>
          <w:rFonts w:cs="Times New Roman"/>
          <w:color w:val="000000"/>
        </w:rPr>
        <w:t>, novas</w:t>
      </w:r>
      <w:proofErr w:type="gramStart"/>
      <w:r w:rsidRPr="005A530C">
        <w:rPr>
          <w:rFonts w:cs="Times New Roman"/>
          <w:color w:val="000000"/>
        </w:rPr>
        <w:t xml:space="preserve"> </w:t>
      </w:r>
      <w:r w:rsidR="007F1D0A">
        <w:rPr>
          <w:rFonts w:cs="Times New Roman"/>
          <w:color w:val="000000"/>
        </w:rPr>
        <w:t xml:space="preserve"> </w:t>
      </w:r>
      <w:proofErr w:type="gramEnd"/>
      <w:r w:rsidRPr="005A530C">
        <w:rPr>
          <w:rFonts w:cs="Times New Roman"/>
          <w:color w:val="000000"/>
        </w:rPr>
        <w:t>transferências de mercadoria são realizadas. O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transporte de mercadorias para reabastecimento, usualmente denominado “transferência”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ou “puxada”, é realizado através de caminhões pesados, o que permite a movimentação de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grandes quantidades, normalmente entre 20 e 28 </w:t>
      </w:r>
      <w:proofErr w:type="spellStart"/>
      <w:r w:rsidRPr="005A530C">
        <w:rPr>
          <w:rFonts w:cs="Times New Roman"/>
          <w:color w:val="000000"/>
        </w:rPr>
        <w:t>paletes</w:t>
      </w:r>
      <w:proofErr w:type="spellEnd"/>
      <w:r w:rsidRPr="005A530C">
        <w:rPr>
          <w:rFonts w:cs="Times New Roman"/>
          <w:color w:val="000000"/>
        </w:rPr>
        <w:t xml:space="preserve"> por veículo. A partir do CDD, a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entrega é realizada aos clientes finais em pequenos carros de distribuição, que possuem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proofErr w:type="gramStart"/>
      <w:r w:rsidRPr="005A530C">
        <w:rPr>
          <w:rFonts w:cs="Times New Roman"/>
          <w:color w:val="000000"/>
        </w:rPr>
        <w:t>capacidade</w:t>
      </w:r>
      <w:proofErr w:type="gramEnd"/>
      <w:r w:rsidRPr="005A530C">
        <w:rPr>
          <w:rFonts w:cs="Times New Roman"/>
          <w:color w:val="000000"/>
        </w:rPr>
        <w:t xml:space="preserve"> média de 10 </w:t>
      </w:r>
      <w:proofErr w:type="spellStart"/>
      <w:r w:rsidRPr="005A530C">
        <w:rPr>
          <w:rFonts w:cs="Times New Roman"/>
          <w:color w:val="000000"/>
        </w:rPr>
        <w:t>paletes</w:t>
      </w:r>
      <w:proofErr w:type="spellEnd"/>
      <w:r w:rsidRPr="005A530C">
        <w:rPr>
          <w:rFonts w:cs="Times New Roman"/>
          <w:color w:val="000000"/>
        </w:rPr>
        <w:t xml:space="preserve"> - todos esses veículos abastecidos com produtos a partir do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estoque do CDD.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Na modalidade de Ponto de Apoio, são encontradas duas formas distintas de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operação. Na primeira, veículos de grande porte levam as cargas consolidadas até o PA,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onde estas são divididas entre os veículos de distribuição. Na segunda, menos comum, os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veículos de entrega são carregados na fábrica, de forma a aproveitar a estrutura de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movimentação/carregamento fabril. Da fábrica, estes veículos se dirigem ao PA, onde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aguardam o momento de partida para entrega. Em ambas as alternativas, apenas uma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pequena quantidade de produtos é mantida no PA, a fim de solucionar problemas de avarias</w:t>
      </w:r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durante o transporte ou movimentação das mercadorias.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 xml:space="preserve">Por meio da utilização de um modelo de distribuição híbrido, combinação de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="007F1D0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Internos,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proofErr w:type="gramStart"/>
      <w:r w:rsidRPr="005A530C">
        <w:rPr>
          <w:rFonts w:cs="Times New Roman"/>
          <w:color w:val="000000"/>
        </w:rPr>
        <w:t xml:space="preserve"> </w:t>
      </w:r>
      <w:r w:rsidR="007F1D0A">
        <w:rPr>
          <w:rFonts w:cs="Times New Roman"/>
          <w:color w:val="000000"/>
        </w:rPr>
        <w:t xml:space="preserve"> </w:t>
      </w:r>
      <w:proofErr w:type="gramEnd"/>
      <w:r w:rsidR="007F1D0A">
        <w:rPr>
          <w:rFonts w:cs="Times New Roman"/>
          <w:color w:val="000000"/>
        </w:rPr>
        <w:t>E</w:t>
      </w:r>
      <w:r w:rsidRPr="005A530C">
        <w:rPr>
          <w:rFonts w:cs="Times New Roman"/>
          <w:color w:val="000000"/>
        </w:rPr>
        <w:t>xternos, Pontos de Apoio e Revendas Terceirizadas, a empresa buscou</w:t>
      </w:r>
      <w:r w:rsidR="009E57B5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alavancar sua rentabilidade e aumentar a margem de contribuição de seus produtos, seja</w:t>
      </w:r>
      <w:r w:rsidR="009E57B5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através do aumento do volume de vendas, de seu poder de negociação ou da redução</w:t>
      </w:r>
      <w:r w:rsidR="009E57B5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constante dos custos logísticos e de distribuição, além de atender às necessidades de nível</w:t>
      </w:r>
      <w:r w:rsidR="00471B01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de serviço exigidas pelo mercado.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Entender a relevância dos custos de transportes na composição geral dos custos de</w:t>
      </w:r>
      <w:r w:rsidR="00471B01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distribuição e implantar novas soluções de acompanhamento e gestão de forma a minimizar</w:t>
      </w:r>
      <w:r w:rsidR="00471B01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seu impacto foi ponto crucial da estratégia adotada pela empresa</w:t>
      </w:r>
      <w:proofErr w:type="gramStart"/>
      <w:r w:rsidRPr="005A530C">
        <w:rPr>
          <w:rFonts w:cs="Times New Roman"/>
          <w:color w:val="000000"/>
        </w:rPr>
        <w:t>..</w:t>
      </w:r>
      <w:proofErr w:type="gramEnd"/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5A530C">
        <w:rPr>
          <w:rFonts w:cs="Times New Roman"/>
          <w:b/>
          <w:bCs/>
          <w:color w:val="000000"/>
        </w:rPr>
        <w:t>Racionalização de Processos e Atividades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A reestruturação de processos e atividades envolvidas na transferência de</w:t>
      </w:r>
      <w:r w:rsidR="00146C5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mercadorias entre fábricas e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 xml:space="preserve"> ocasionou mudanças, principalmente, na forma de</w:t>
      </w:r>
      <w:r w:rsidR="00146C5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gestão desse processo. A programação de reabastecimento, o acompanhamento das cargas e</w:t>
      </w:r>
      <w:r w:rsidR="00146C5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 negociação e cobrança sobre transportadores deixaram de ser realizados por cada centro</w:t>
      </w:r>
      <w:r w:rsidR="00146C5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de distribuição e para ser executado pela área de transporte, centralizadamente.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</w:rPr>
      </w:pPr>
      <w:r w:rsidRPr="005A530C">
        <w:rPr>
          <w:rFonts w:cs="Times New Roman"/>
          <w:i/>
          <w:iCs/>
          <w:color w:val="000000"/>
        </w:rPr>
        <w:t>Características da Transferência Descentralizada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O modelo de gestão descentralizado da transferência de produtos, que vigorou até</w:t>
      </w:r>
      <w:r w:rsidR="00146C5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março de 2005, tinha entre suas principais características: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Definição local dos prestadores de serviço de transporte. A seleção e contratação das</w:t>
      </w:r>
      <w:r w:rsidR="00146C5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empresas</w:t>
      </w:r>
      <w:proofErr w:type="gramStart"/>
      <w:r w:rsidR="00146C5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 </w:t>
      </w:r>
      <w:proofErr w:type="gramEnd"/>
      <w:r w:rsidRPr="005A530C">
        <w:rPr>
          <w:rFonts w:cs="Times New Roman"/>
          <w:color w:val="000000"/>
        </w:rPr>
        <w:t>transportadoras cabia aos gerentes de cada centro.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Definição local do tipo de equipamento designado para cada operação/ percurso (</w:t>
      </w:r>
      <w:proofErr w:type="gramStart"/>
      <w:r w:rsidRPr="005A530C">
        <w:rPr>
          <w:rFonts w:cs="Times New Roman"/>
          <w:color w:val="000000"/>
        </w:rPr>
        <w:t>marca</w:t>
      </w:r>
      <w:proofErr w:type="gramEnd"/>
      <w:r w:rsidR="00146C5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do cavalo-mecânico e implementos, potência do cavalo-mecânico, capacidade de carga</w:t>
      </w:r>
      <w:r w:rsidR="00146C5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da carreta, idade do equipamento, etc.).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Controle local dos custos de transporte.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Dimensionamento descentralizado da quantidade de veículos em cada CDD. Cada</w:t>
      </w:r>
      <w:r w:rsidR="00146C5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gerente de logística era responsável pelo dimensionamento da frota atuante em sua</w:t>
      </w:r>
      <w:r w:rsidR="00146C5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unidade de distribuição.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Acompanhamento mensal da produtividade dos equipamentos. No modelo</w:t>
      </w:r>
      <w:r w:rsidR="00146C5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descentralizado, a definição de metas de produtividade é realizada pela área corporativa</w:t>
      </w:r>
      <w:r w:rsidR="00146C5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de transportes, mas somente o resultado de fechamento mensal de produtividade é</w:t>
      </w:r>
      <w:r w:rsidR="00146C5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acompanhado pela área corporativa, enquanto os resultados diários são acompanhados</w:t>
      </w:r>
      <w:r w:rsidR="00146C59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por cada unidade de distribuição.</w:t>
      </w:r>
    </w:p>
    <w:p w:rsidR="00146C59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Controle local dos níveis de estoque de produto acabado, da necessidade de</w:t>
      </w:r>
      <w:r w:rsidR="00146C59">
        <w:rPr>
          <w:rFonts w:cs="Times New Roman"/>
          <w:color w:val="000000"/>
        </w:rPr>
        <w:t xml:space="preserve"> </w:t>
      </w:r>
      <w:proofErr w:type="spellStart"/>
      <w:r w:rsidRPr="005A530C">
        <w:rPr>
          <w:rFonts w:cs="Times New Roman"/>
          <w:color w:val="000000"/>
        </w:rPr>
        <w:t>ressuprimento</w:t>
      </w:r>
      <w:proofErr w:type="spellEnd"/>
      <w:r w:rsidRPr="005A530C">
        <w:rPr>
          <w:rFonts w:cs="Times New Roman"/>
          <w:color w:val="000000"/>
        </w:rPr>
        <w:t xml:space="preserve"> e dos produtos a serem reabastecidos.</w:t>
      </w:r>
      <w:r w:rsidR="00146C59">
        <w:rPr>
          <w:rFonts w:cs="Times New Roman"/>
          <w:color w:val="000000"/>
        </w:rPr>
        <w:t xml:space="preserve"> </w:t>
      </w:r>
    </w:p>
    <w:p w:rsidR="00146C59" w:rsidRDefault="00146C59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A determinação local da quantidade e do tipo de equipamento em cada operação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resultou na </w:t>
      </w:r>
      <w:proofErr w:type="spellStart"/>
      <w:r w:rsidRPr="005A530C">
        <w:rPr>
          <w:rFonts w:cs="Times New Roman"/>
          <w:color w:val="000000"/>
        </w:rPr>
        <w:t>despadronização</w:t>
      </w:r>
      <w:proofErr w:type="spellEnd"/>
      <w:r w:rsidRPr="005A530C">
        <w:rPr>
          <w:rFonts w:cs="Times New Roman"/>
          <w:color w:val="000000"/>
        </w:rPr>
        <w:t xml:space="preserve"> da frota da empresa e no super dimensionamento da mesma,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causado pela falta de sinergia entre as operações. No modelo descentralizado, cada CDD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dimensionava sua frota de forma a atender à sua necessidade integral de transporte. Como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cada célula gerencial buscava o melhor apenas para sua operação, não se comprometendo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com a obtenção de melhores resultados a níveis nacionais, qualquer ociosidade dos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veículos, muitas vezes gerada pela sazonalidade da demanda, não era aproveitada como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sinergia em outras atividades.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O acompanhamento descentralizado da transferência implicou também na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necessidade de contratação de, ao menos, um funcionário em cada CDD. Esse empregado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tinha entre suas obrigações, o monitoramento das carretas e dos níveis de estoque de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produtos acabados, além do acompanhamento da produtividade dos circuitos fábricas-</w:t>
      </w:r>
      <w:r w:rsidR="00DF41CA">
        <w:rPr>
          <w:rFonts w:cs="Times New Roman"/>
          <w:color w:val="000000"/>
        </w:rPr>
        <w:t xml:space="preserve">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 xml:space="preserve">. Esse modelo não permitia o acompanhamento constante das operações dos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 xml:space="preserve"> e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de seus resultados de produtividade pela área corporativa de transportes da companhia, a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proofErr w:type="gramStart"/>
      <w:r w:rsidRPr="005A530C">
        <w:rPr>
          <w:rFonts w:cs="Times New Roman"/>
          <w:color w:val="000000"/>
        </w:rPr>
        <w:t>fim</w:t>
      </w:r>
      <w:proofErr w:type="gramEnd"/>
      <w:r w:rsidRPr="005A530C">
        <w:rPr>
          <w:rFonts w:cs="Times New Roman"/>
          <w:color w:val="000000"/>
        </w:rPr>
        <w:t xml:space="preserve"> de possibilitar medidas corretivas imediatas que contribuíssem para atingir as metas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estabelecidas.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O conjunto de todas essas características resultou em um sistema de transporte mal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dimensionado, que não atingia a eficiência esperada pela Companhia. Como forma de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reduzir os custos envolvidos no transporte de produtos entre fábricas e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>, a companhia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implantou um sistema de gestão baseado na centralização das atividades estratégicas e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táticas dos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>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</w:rPr>
      </w:pPr>
      <w:r w:rsidRPr="005A530C">
        <w:rPr>
          <w:rFonts w:cs="Times New Roman"/>
          <w:i/>
          <w:iCs/>
          <w:color w:val="000000"/>
        </w:rPr>
        <w:t>Características da Transferência Centralizada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A partir de março de 2005, entrou em atividade o Projeto de Centralização da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Transferência, que passou a gerir centralizadamente as funções estratégicas e táticas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envolvidas na transferência de produtos, em negociação com parceiros e no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acompanhamento da produtividade dos ativos. Seus principais objetivos eram: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Redução dos custos de transporte, a partir de negociações centralizadas e padronizadas.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Redução da necessidade de veículos por CDD, conseqüência da racionalização da</w:t>
      </w:r>
      <w:r w:rsidR="00DF41CA">
        <w:rPr>
          <w:rFonts w:cs="Times New Roman"/>
          <w:color w:val="000000"/>
        </w:rPr>
        <w:t xml:space="preserve"> </w:t>
      </w:r>
      <w:proofErr w:type="spellStart"/>
      <w:r w:rsidRPr="005A530C">
        <w:rPr>
          <w:rFonts w:cs="Times New Roman"/>
          <w:color w:val="000000"/>
        </w:rPr>
        <w:t>progrmação</w:t>
      </w:r>
      <w:proofErr w:type="spellEnd"/>
      <w:r w:rsidRPr="005A530C">
        <w:rPr>
          <w:rFonts w:cs="Times New Roman"/>
          <w:color w:val="000000"/>
        </w:rPr>
        <w:t xml:space="preserve"> de transferência e do aumento da produtividade dos circuitos entre fábricas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 centros de distribuição.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Ganhos de escala com a redução no número de operadores logísticos/ transportadoras e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aumento da participação daqueles selecionados.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Redução do número de funcionários próprios envolvidos na atividade de programação e</w:t>
      </w:r>
      <w:r w:rsidR="00DF41CA">
        <w:rPr>
          <w:rFonts w:cs="Times New Roman"/>
          <w:color w:val="000000"/>
        </w:rPr>
        <w:t xml:space="preserve"> a</w:t>
      </w:r>
      <w:r w:rsidRPr="005A530C">
        <w:rPr>
          <w:rFonts w:cs="Times New Roman"/>
          <w:color w:val="000000"/>
        </w:rPr>
        <w:t>companhamento das transferências.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Padronização da frota própria, fator gerador de poder de negociação com montadoras,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fabricantes de implementos e fornecedores de serviços de manutenção preventiva e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corretiva.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De forma a minimizar os riscos operacionais de centralização do processo de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transferência, o projeto foi desenhado em duas etapas principais. A primeira fase consistiu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na centralização parcial da transferência, através da formação de nove centros regionais de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programação de transferência. Cada uma destas células passou a ser responsável pelo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controle e acompanhamento de três a cinco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 xml:space="preserve"> e suas respectivas fábricas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proofErr w:type="gramStart"/>
      <w:r w:rsidRPr="005A530C">
        <w:rPr>
          <w:rFonts w:cs="Times New Roman"/>
          <w:color w:val="000000"/>
        </w:rPr>
        <w:t>abastecedoras</w:t>
      </w:r>
      <w:proofErr w:type="gramEnd"/>
      <w:r w:rsidRPr="005A530C">
        <w:rPr>
          <w:rFonts w:cs="Times New Roman"/>
          <w:color w:val="000000"/>
        </w:rPr>
        <w:t>. Estas centrais de programação estavam fisicamente localizadas em um dos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proofErr w:type="gramStart"/>
      <w:r w:rsidRPr="005A530C">
        <w:rPr>
          <w:rFonts w:cs="Times New Roman"/>
          <w:color w:val="000000"/>
        </w:rPr>
        <w:t>principais</w:t>
      </w:r>
      <w:proofErr w:type="gramEnd"/>
      <w:r w:rsidRPr="005A530C">
        <w:rPr>
          <w:rFonts w:cs="Times New Roman"/>
          <w:color w:val="000000"/>
        </w:rPr>
        <w:t xml:space="preserve">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 xml:space="preserve"> da regional, de forma a facilitar a interação com os demais.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O resultado operacional positivo da primeira etapa, que durou aproximadamente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dois meses, levou ao início da centralização definitiva da atividade, quando os centros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regionais de programação foram centralizados nacionalmente.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Com a centralização da gestão da transferência, o número de funcionários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envolvidos na atividade de programação e acompanhamento de cargas foi reduzido de 32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para 20. Essa redução foi possível devido à padronização das atividades realizadas, entre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elas principalmente os acompanhamentos da política de estoque e necessidade de</w:t>
      </w:r>
      <w:r w:rsidR="00DF41CA">
        <w:rPr>
          <w:rFonts w:cs="Times New Roman"/>
          <w:color w:val="000000"/>
        </w:rPr>
        <w:t xml:space="preserve"> </w:t>
      </w:r>
      <w:proofErr w:type="spellStart"/>
      <w:r w:rsidRPr="005A530C">
        <w:rPr>
          <w:rFonts w:cs="Times New Roman"/>
          <w:color w:val="000000"/>
        </w:rPr>
        <w:t>ressuprimento</w:t>
      </w:r>
      <w:proofErr w:type="spellEnd"/>
      <w:r w:rsidRPr="005A530C">
        <w:rPr>
          <w:rFonts w:cs="Times New Roman"/>
          <w:color w:val="000000"/>
        </w:rPr>
        <w:t xml:space="preserve"> dos CDD, por cada um dos funcionários. No novo modelo de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proofErr w:type="gramStart"/>
      <w:r w:rsidRPr="005A530C">
        <w:rPr>
          <w:rFonts w:cs="Times New Roman"/>
          <w:color w:val="000000"/>
        </w:rPr>
        <w:t>acompanhamento</w:t>
      </w:r>
      <w:proofErr w:type="gramEnd"/>
      <w:r w:rsidRPr="005A530C">
        <w:rPr>
          <w:rFonts w:cs="Times New Roman"/>
          <w:color w:val="000000"/>
        </w:rPr>
        <w:t xml:space="preserve">, cada funcionário passou a ser responsável por cerca de três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 xml:space="preserve"> e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foram criados cargos específicos de coordenador, contratante de fretes e analista de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produtividade. A redução do número de funcionários envolvidos nessa atividade gerou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economias anualizadas de aproximadamente R$ 466.000 (quatrocentos e sessenta e seis mil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reais).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Os indicadores de nível de serviço da programação de produção, dentre os quais</w:t>
      </w:r>
      <w:r w:rsidR="00DF41CA">
        <w:rPr>
          <w:rFonts w:cs="Times New Roman"/>
          <w:color w:val="000000"/>
        </w:rPr>
        <w:t xml:space="preserve"> </w:t>
      </w:r>
      <w:proofErr w:type="gramStart"/>
      <w:r w:rsidRPr="005A530C">
        <w:rPr>
          <w:rFonts w:cs="Times New Roman"/>
          <w:color w:val="000000"/>
        </w:rPr>
        <w:t>destaca-se</w:t>
      </w:r>
      <w:proofErr w:type="gramEnd"/>
      <w:r w:rsidRPr="005A530C">
        <w:rPr>
          <w:rFonts w:cs="Times New Roman"/>
          <w:color w:val="000000"/>
        </w:rPr>
        <w:t xml:space="preserve"> o percentual de s</w:t>
      </w:r>
      <w:r w:rsidRPr="005A530C">
        <w:rPr>
          <w:rFonts w:cs="Times New Roman"/>
          <w:i/>
          <w:iCs/>
          <w:color w:val="000000"/>
        </w:rPr>
        <w:t xml:space="preserve">tock out </w:t>
      </w:r>
      <w:r w:rsidRPr="005A530C">
        <w:rPr>
          <w:rFonts w:cs="Times New Roman"/>
          <w:color w:val="000000"/>
        </w:rPr>
        <w:t xml:space="preserve">dos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>, que mede o percentual de produtos que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deixou de ser vendido por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indisponibilidade de estoque, permaneceram estáveis após as</w:t>
      </w:r>
      <w:r w:rsidR="00DF41CA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alterações no modelo de gestão.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proofErr w:type="gramStart"/>
      <w:r w:rsidRPr="005A530C">
        <w:rPr>
          <w:rFonts w:cs="Times New Roman"/>
          <w:b/>
          <w:bCs/>
          <w:color w:val="000000"/>
        </w:rPr>
        <w:lastRenderedPageBreak/>
        <w:t>Otimização</w:t>
      </w:r>
      <w:proofErr w:type="gramEnd"/>
      <w:r w:rsidRPr="005A530C">
        <w:rPr>
          <w:rFonts w:cs="Times New Roman"/>
          <w:b/>
          <w:bCs/>
          <w:color w:val="000000"/>
        </w:rPr>
        <w:t xml:space="preserve"> da Capacidade de Carga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Uma das principais alavancas na redução dos custos rodoviários de transporte é a</w:t>
      </w:r>
      <w:r w:rsidR="007E7E6C">
        <w:rPr>
          <w:rFonts w:cs="Times New Roman"/>
          <w:color w:val="000000"/>
        </w:rPr>
        <w:t xml:space="preserve"> </w:t>
      </w:r>
      <w:proofErr w:type="gramStart"/>
      <w:r w:rsidRPr="005A530C">
        <w:rPr>
          <w:rFonts w:cs="Times New Roman"/>
          <w:color w:val="000000"/>
        </w:rPr>
        <w:t>otimização</w:t>
      </w:r>
      <w:proofErr w:type="gramEnd"/>
      <w:r w:rsidRPr="005A530C">
        <w:rPr>
          <w:rFonts w:cs="Times New Roman"/>
          <w:color w:val="000000"/>
        </w:rPr>
        <w:t xml:space="preserve"> da capacidade de carga dos implementos rodovi</w:t>
      </w:r>
      <w:r w:rsidR="00146C59">
        <w:rPr>
          <w:rFonts w:cs="Times New Roman"/>
          <w:color w:val="000000"/>
        </w:rPr>
        <w:t xml:space="preserve">ários. </w:t>
      </w:r>
      <w:r w:rsidRPr="005A530C">
        <w:rPr>
          <w:rFonts w:cs="Times New Roman"/>
          <w:color w:val="000000"/>
        </w:rPr>
        <w:t xml:space="preserve">O </w:t>
      </w:r>
      <w:proofErr w:type="gramStart"/>
      <w:r w:rsidRPr="005A530C">
        <w:rPr>
          <w:rFonts w:cs="Times New Roman"/>
          <w:color w:val="000000"/>
        </w:rPr>
        <w:t>super-dimensionamento</w:t>
      </w:r>
      <w:proofErr w:type="gramEnd"/>
      <w:r w:rsidRPr="005A530C">
        <w:rPr>
          <w:rFonts w:cs="Times New Roman"/>
          <w:color w:val="000000"/>
        </w:rPr>
        <w:t xml:space="preserve"> da frota foi, também, motivado pela necessidade de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evitar o custo de desabastecimento/ falta de produto (venda perdida), que é considerado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altamente prejudicial. Além da perda de margem originada pela não-venda, a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competitividade do mercado nacional de cerveja e refrigerantes e os baixos níveis de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estoques dos pontos de venda fazem com que a falta de um produto leve à sua substituição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por um concorrente, já que o desabastecimento é uma condição inviável para bares e</w:t>
      </w:r>
      <w:r w:rsidR="007E7E6C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restaurantes.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 xml:space="preserve">Transportando prioritariamente </w:t>
      </w:r>
      <w:proofErr w:type="spellStart"/>
      <w:r w:rsidRPr="005A530C">
        <w:rPr>
          <w:rFonts w:cs="Times New Roman"/>
          <w:color w:val="000000"/>
        </w:rPr>
        <w:t>paletes</w:t>
      </w:r>
      <w:proofErr w:type="spellEnd"/>
      <w:r w:rsidRPr="005A530C">
        <w:rPr>
          <w:rFonts w:cs="Times New Roman"/>
          <w:color w:val="000000"/>
        </w:rPr>
        <w:t xml:space="preserve"> PBR2, com dimensões de 1, 25 m de largura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por 1,05 de comprimento e com cerca de 1.250 kg quando carregados com produto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acabado, foram necessárias diversas adaptações no </w:t>
      </w:r>
      <w:proofErr w:type="gramStart"/>
      <w:r w:rsidRPr="005A530C">
        <w:rPr>
          <w:rFonts w:cs="Times New Roman"/>
          <w:color w:val="000000"/>
        </w:rPr>
        <w:t>implemento</w:t>
      </w:r>
      <w:proofErr w:type="gramEnd"/>
      <w:r w:rsidRPr="005A530C">
        <w:rPr>
          <w:rFonts w:cs="Times New Roman"/>
          <w:color w:val="000000"/>
        </w:rPr>
        <w:t xml:space="preserve"> de forma que os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equipamentos permanecessem dentro dos requisitos legais quando carregados com 26</w:t>
      </w:r>
      <w:r w:rsidR="00F3625E">
        <w:rPr>
          <w:rFonts w:cs="Times New Roman"/>
          <w:color w:val="000000"/>
        </w:rPr>
        <w:t xml:space="preserve"> </w:t>
      </w:r>
      <w:proofErr w:type="spellStart"/>
      <w:r w:rsidRPr="005A530C">
        <w:rPr>
          <w:rFonts w:cs="Times New Roman"/>
          <w:color w:val="000000"/>
        </w:rPr>
        <w:t>paletes</w:t>
      </w:r>
      <w:proofErr w:type="spellEnd"/>
      <w:r w:rsidRPr="005A530C">
        <w:rPr>
          <w:rFonts w:cs="Times New Roman"/>
          <w:color w:val="000000"/>
        </w:rPr>
        <w:t>. Para atender aos padrões de comprimento das carretas veículos, foi necessário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inverter a posição dos </w:t>
      </w:r>
      <w:proofErr w:type="spellStart"/>
      <w:r w:rsidRPr="005A530C">
        <w:rPr>
          <w:rFonts w:cs="Times New Roman"/>
          <w:color w:val="000000"/>
        </w:rPr>
        <w:t>paletes</w:t>
      </w:r>
      <w:proofErr w:type="spellEnd"/>
      <w:r w:rsidRPr="005A530C">
        <w:rPr>
          <w:rFonts w:cs="Times New Roman"/>
          <w:color w:val="000000"/>
        </w:rPr>
        <w:t xml:space="preserve"> na carreta, carregando-os com o lado menor virado para a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proofErr w:type="gramStart"/>
      <w:r w:rsidRPr="005A530C">
        <w:rPr>
          <w:rFonts w:cs="Times New Roman"/>
          <w:color w:val="000000"/>
        </w:rPr>
        <w:t>lateral</w:t>
      </w:r>
      <w:proofErr w:type="gramEnd"/>
      <w:r w:rsidRPr="005A530C">
        <w:rPr>
          <w:rFonts w:cs="Times New Roman"/>
          <w:color w:val="000000"/>
        </w:rPr>
        <w:t xml:space="preserve"> do implemento, e utilizar cavalos-mecânicos do tipo “cara-chata”, mais curtos. Para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atender às exigências legais de largura, a espinha central das carretas asa-delta e seu ângulo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de inclinação tiveram de ser reduzidos. Finalmente, visando atender aos requisitos de peso,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o </w:t>
      </w:r>
      <w:proofErr w:type="gramStart"/>
      <w:r w:rsidRPr="005A530C">
        <w:rPr>
          <w:rFonts w:cs="Times New Roman"/>
          <w:color w:val="000000"/>
        </w:rPr>
        <w:t>implemento</w:t>
      </w:r>
      <w:proofErr w:type="gramEnd"/>
      <w:r w:rsidRPr="005A530C">
        <w:rPr>
          <w:rFonts w:cs="Times New Roman"/>
          <w:color w:val="000000"/>
        </w:rPr>
        <w:t xml:space="preserve"> sofreu diversas modificações, incluindo a substituição de peças de ferro e aço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por alumínio, redução dos tanques de combustível e retirada de materiais não-essenciais.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O aumento de 18% na capacidade de transporte</w:t>
      </w:r>
      <w:proofErr w:type="gramStart"/>
      <w:r w:rsidRPr="005A530C">
        <w:rPr>
          <w:rFonts w:cs="Times New Roman"/>
          <w:color w:val="000000"/>
        </w:rPr>
        <w:t>, gerou</w:t>
      </w:r>
      <w:proofErr w:type="gramEnd"/>
      <w:r w:rsidRPr="005A530C">
        <w:rPr>
          <w:rFonts w:cs="Times New Roman"/>
          <w:color w:val="000000"/>
        </w:rPr>
        <w:t>, uma redução de custos da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ordem de 9%. Porém, devido à fragilização do equipamento e ao maior custo de fabricação,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tanto pela diferenciação/</w:t>
      </w:r>
      <w:proofErr w:type="gramStart"/>
      <w:r w:rsidRPr="005A530C">
        <w:rPr>
          <w:rFonts w:cs="Times New Roman"/>
          <w:color w:val="000000"/>
        </w:rPr>
        <w:t xml:space="preserve"> </w:t>
      </w:r>
      <w:r w:rsidR="00F3625E">
        <w:rPr>
          <w:rFonts w:cs="Times New Roman"/>
          <w:color w:val="000000"/>
        </w:rPr>
        <w:t xml:space="preserve"> </w:t>
      </w:r>
      <w:proofErr w:type="gramEnd"/>
      <w:r w:rsidR="00F3625E">
        <w:rPr>
          <w:rFonts w:cs="Times New Roman"/>
          <w:color w:val="000000"/>
        </w:rPr>
        <w:t>c</w:t>
      </w:r>
      <w:r w:rsidRPr="005A530C">
        <w:rPr>
          <w:rFonts w:cs="Times New Roman"/>
          <w:color w:val="000000"/>
        </w:rPr>
        <w:t>ustomização do projeto, como pela substituição do aço e ferro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pelo alumínio, os custos de manutenção e fabricação sofreram aumentos, fatos que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absorveram parte do ganho, sem, no entanto, comprometer o sucesso do projeto. Os custos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variáveis não foram significativamente impactados, uma vez que o peso total da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composição carregada permaneceu similar ao peso das carretas comuns.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 xml:space="preserve">Quanto aos tempos de carregamento e descarga nas fábricas e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>, foi percebido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um incremento médio de 15 minutos; a média de 29 minutos obtida pelos veículos de 20</w:t>
      </w:r>
      <w:r w:rsidR="00F3625E">
        <w:rPr>
          <w:rFonts w:cs="Times New Roman"/>
          <w:color w:val="000000"/>
        </w:rPr>
        <w:t xml:space="preserve"> </w:t>
      </w:r>
      <w:proofErr w:type="spellStart"/>
      <w:r w:rsidRPr="005A530C">
        <w:rPr>
          <w:rFonts w:cs="Times New Roman"/>
          <w:color w:val="000000"/>
        </w:rPr>
        <w:t>paletes</w:t>
      </w:r>
      <w:proofErr w:type="spellEnd"/>
      <w:r w:rsidRPr="005A530C">
        <w:rPr>
          <w:rFonts w:cs="Times New Roman"/>
          <w:color w:val="000000"/>
        </w:rPr>
        <w:t xml:space="preserve"> passou para 44 nos veículos de 26. Esse incremento ocorreu, principalmente, devido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à necessidade do operador de empilhadeira inverter a posição do </w:t>
      </w:r>
      <w:proofErr w:type="spellStart"/>
      <w:r w:rsidRPr="005A530C">
        <w:rPr>
          <w:rFonts w:cs="Times New Roman"/>
          <w:color w:val="000000"/>
        </w:rPr>
        <w:t>palete</w:t>
      </w:r>
      <w:proofErr w:type="spellEnd"/>
      <w:r w:rsidRPr="005A530C">
        <w:rPr>
          <w:rFonts w:cs="Times New Roman"/>
          <w:color w:val="000000"/>
        </w:rPr>
        <w:t>, ao retirá-lo do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estoque e antes de carregá-lo no veículo. No entanto, o incremento do volume transportado,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além da redução de outros fatores componentes dos tempos internos, como tempo de espera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 atendimento, compensaram a perda de tempo apurada no carregamento.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5A530C">
        <w:rPr>
          <w:rFonts w:cs="Times New Roman"/>
          <w:b/>
          <w:bCs/>
          <w:color w:val="000000"/>
        </w:rPr>
        <w:t>Aumento da Produtividade da Frota</w:t>
      </w:r>
    </w:p>
    <w:p w:rsidR="00F3625E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Um dos principais indicadores da eficiência da gestão de transportes adotados pela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AmBev, a produtividade da frota dedicada, mede, em percentuais, o número de viagens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realizadas pela frota de acordo com metas pré-estabelecidas. A fórmula de cálculo dessa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equação é: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 xml:space="preserve">Produtividade de Frota = </w:t>
      </w:r>
      <w:proofErr w:type="spellStart"/>
      <w:r w:rsidRPr="005A530C">
        <w:rPr>
          <w:rFonts w:cs="Times New Roman"/>
          <w:color w:val="000000"/>
        </w:rPr>
        <w:t>Viagnes</w:t>
      </w:r>
      <w:proofErr w:type="spellEnd"/>
      <w:r w:rsidRPr="005A530C">
        <w:rPr>
          <w:rFonts w:cs="Times New Roman"/>
          <w:color w:val="000000"/>
        </w:rPr>
        <w:t xml:space="preserve"> Realizadas / Meta de Viagens</w:t>
      </w:r>
      <w:r w:rsidR="00F3625E">
        <w:rPr>
          <w:rFonts w:cs="Times New Roman"/>
          <w:color w:val="000000"/>
        </w:rPr>
        <w:t xml:space="preserve"> 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A determinação do número de viagens (meta) que cada um dos veículos dedicados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deve realizar é estabelecida com base nas variáveis descritas a seguir: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Distâncias entre o CDD e as fábricas abastecedoras;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Condições de manutenção das rodovias;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Tipo de percurso (urbano/ rodoviário)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Topografia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Número de turnos em operação (fábrica e CDD);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Tempos de carga e descarga (fábrica e CDD);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Quantidade de motoristas por veículo;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Potência do cavalo-mecânico;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Capacidade de carga do equipamento.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Tempos médios de carregamento de produto e descarga de ativos de giro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(</w:t>
      </w:r>
      <w:proofErr w:type="spellStart"/>
      <w:r w:rsidRPr="005A530C">
        <w:rPr>
          <w:rFonts w:cs="Times New Roman"/>
          <w:color w:val="000000"/>
        </w:rPr>
        <w:t>paletes</w:t>
      </w:r>
      <w:proofErr w:type="spellEnd"/>
      <w:r w:rsidRPr="005A530C">
        <w:rPr>
          <w:rFonts w:cs="Times New Roman"/>
          <w:color w:val="000000"/>
        </w:rPr>
        <w:t xml:space="preserve">, garrafeiras e garrafas vazias, </w:t>
      </w:r>
      <w:proofErr w:type="spellStart"/>
      <w:r w:rsidRPr="005A530C">
        <w:rPr>
          <w:rFonts w:cs="Times New Roman"/>
          <w:color w:val="000000"/>
        </w:rPr>
        <w:t>chapatex</w:t>
      </w:r>
      <w:proofErr w:type="spellEnd"/>
      <w:r w:rsidRPr="005A530C">
        <w:rPr>
          <w:rFonts w:cs="Times New Roman"/>
          <w:color w:val="000000"/>
        </w:rPr>
        <w:t xml:space="preserve">) nas fábricas e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>. Foi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definida a prioridade de carga e descarga, tanto em fábricas quanto em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>,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de equipamentos de frota fixa dedicada, de forma que estes caminhões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passassem o menor tempo possível aguardando atendimento. Anteriormente,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todos os veículos, fossem estes de revendas, transferência entre fábricas, de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atendimento a supermercados, </w:t>
      </w:r>
      <w:proofErr w:type="spellStart"/>
      <w:r w:rsidRPr="005A530C">
        <w:rPr>
          <w:rFonts w:cs="Times New Roman"/>
          <w:color w:val="000000"/>
        </w:rPr>
        <w:t>freteiros</w:t>
      </w:r>
      <w:proofErr w:type="spellEnd"/>
      <w:r w:rsidRPr="005A530C">
        <w:rPr>
          <w:rFonts w:cs="Times New Roman"/>
          <w:color w:val="000000"/>
        </w:rPr>
        <w:t xml:space="preserve"> ou veículos dedicados de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>, eram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atendidos de acordo com seus horários de marcação (janelas de atendimento).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Caso algum </w:t>
      </w:r>
      <w:r w:rsidRPr="005A530C">
        <w:rPr>
          <w:rFonts w:cs="Times New Roman"/>
          <w:color w:val="000000"/>
        </w:rPr>
        <w:lastRenderedPageBreak/>
        <w:t>destes veículos descumprisse seu agendamento, chegando antes do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horário, aguardaria até o momento programado para sua entrada. Caso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descumprisse sua programação chegando após o horário, deveria aguardar, na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ordem de chegada dos carros, a possibilidade de inserção na próxima lacuna.</w:t>
      </w:r>
      <w:r w:rsidR="00F3625E">
        <w:rPr>
          <w:rFonts w:cs="Times New Roman"/>
          <w:color w:val="000000"/>
        </w:rPr>
        <w:t xml:space="preserve">  </w:t>
      </w:r>
      <w:r w:rsidRPr="005A530C">
        <w:rPr>
          <w:rFonts w:cs="Times New Roman"/>
          <w:color w:val="000000"/>
        </w:rPr>
        <w:t>Tal fato fazia com que algumas viagens da frota dedicada fossem perdidas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devido ao tempo aguardando atendimento ou </w:t>
      </w:r>
      <w:proofErr w:type="spellStart"/>
      <w:r w:rsidRPr="005A530C">
        <w:rPr>
          <w:rFonts w:cs="Times New Roman"/>
          <w:color w:val="000000"/>
        </w:rPr>
        <w:t>reagendamento</w:t>
      </w:r>
      <w:proofErr w:type="spellEnd"/>
      <w:r w:rsidRPr="005A530C">
        <w:rPr>
          <w:rFonts w:cs="Times New Roman"/>
          <w:color w:val="000000"/>
        </w:rPr>
        <w:t>. O efeito dessa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priorização nos tempos de atendimento gerou reduções médias de 42 minutos</w:t>
      </w:r>
      <w:r w:rsidR="00F3625E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em fábricas e 16 minutos nos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>, de janeiro a dezembro de 2005.</w:t>
      </w:r>
    </w:p>
    <w:p w:rsidR="005A530C" w:rsidRPr="005A530C" w:rsidRDefault="00AF1E48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C</w:t>
      </w:r>
      <w:r w:rsidR="005A530C" w:rsidRPr="005A530C">
        <w:rPr>
          <w:rFonts w:cs="Times New Roman"/>
          <w:b/>
          <w:bCs/>
          <w:color w:val="000000"/>
        </w:rPr>
        <w:t>onclusões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Desde a fusão das companhias Brahma e Antarctica, concluída no ano 2000, a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AmBev tem adotado uma estratégia de centralização e concentração da distribuição de seus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produtos. Baseada na redução do número de revendedores terceiros e no aumento do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volume distribuído pela rede própria e pelos revendedores remanescentes, essa estratégia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tornou evidente a importância de aprimorar a gestão de transportes e reduzir os custos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advindos dessa atividade.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De forma a </w:t>
      </w:r>
      <w:proofErr w:type="gramStart"/>
      <w:r w:rsidRPr="005A530C">
        <w:rPr>
          <w:rFonts w:cs="Times New Roman"/>
          <w:color w:val="000000"/>
        </w:rPr>
        <w:t>otimizar</w:t>
      </w:r>
      <w:proofErr w:type="gramEnd"/>
      <w:r w:rsidRPr="005A530C">
        <w:rPr>
          <w:rFonts w:cs="Times New Roman"/>
          <w:color w:val="000000"/>
        </w:rPr>
        <w:t xml:space="preserve"> a gestão de transportes, a empresa buscou identificar e atuar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nas lacunas do processo de transferência de mercadorias entre fábricas e </w:t>
      </w:r>
      <w:proofErr w:type="spellStart"/>
      <w:r w:rsidRPr="005A530C">
        <w:rPr>
          <w:rFonts w:cs="Times New Roman"/>
          <w:color w:val="000000"/>
        </w:rPr>
        <w:t>CDDs</w:t>
      </w:r>
      <w:proofErr w:type="spellEnd"/>
      <w:r w:rsidRPr="005A530C">
        <w:rPr>
          <w:rFonts w:cs="Times New Roman"/>
          <w:color w:val="000000"/>
        </w:rPr>
        <w:t>, através da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identificação e análise dos principais fatores geradores de custos. Foram definidas as áreas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foco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de atuação: racionalização das atividades e processos; maximização da capacidade de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carga dos veículos; aumento da produtividade de circuitos.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 xml:space="preserve">O incremento da eficiência operacional, resultado das ações </w:t>
      </w:r>
      <w:proofErr w:type="gramStart"/>
      <w:r w:rsidRPr="005A530C">
        <w:rPr>
          <w:rFonts w:cs="Times New Roman"/>
          <w:color w:val="000000"/>
        </w:rPr>
        <w:t>implementadas</w:t>
      </w:r>
      <w:proofErr w:type="gramEnd"/>
      <w:r w:rsidRPr="005A530C">
        <w:rPr>
          <w:rFonts w:cs="Times New Roman"/>
          <w:color w:val="000000"/>
        </w:rPr>
        <w:t>,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resultaram em economias superiores a três milhões de reais em 2005. Como </w:t>
      </w:r>
      <w:proofErr w:type="gramStart"/>
      <w:r w:rsidRPr="005A530C">
        <w:rPr>
          <w:rFonts w:cs="Times New Roman"/>
          <w:color w:val="000000"/>
        </w:rPr>
        <w:t>resultado dos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esforços envolvidos em cada uma dessas vertentes, destacam-se</w:t>
      </w:r>
      <w:proofErr w:type="gramEnd"/>
      <w:r w:rsidRPr="005A530C">
        <w:rPr>
          <w:rFonts w:cs="Times New Roman"/>
          <w:color w:val="000000"/>
        </w:rPr>
        <w:t>:</w:t>
      </w:r>
      <w:r w:rsidR="00AF1E48">
        <w:rPr>
          <w:rFonts w:cs="Times New Roman"/>
          <w:color w:val="000000"/>
        </w:rPr>
        <w:t xml:space="preserve"> 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Redução de 30% do número de funcionários próprios envolvidos na atividade de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programação e acompanhamento das transferências, resultado da centralização dessas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atividades;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Aumento da capacidade de transporte em 18%, a partir da utilização de carretas e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 xml:space="preserve">cavalos-mecânicos </w:t>
      </w:r>
      <w:proofErr w:type="spellStart"/>
      <w:r w:rsidRPr="005A530C">
        <w:rPr>
          <w:rFonts w:cs="Times New Roman"/>
          <w:color w:val="000000"/>
        </w:rPr>
        <w:t>específicamente</w:t>
      </w:r>
      <w:proofErr w:type="spellEnd"/>
      <w:r w:rsidRPr="005A530C">
        <w:rPr>
          <w:rFonts w:cs="Times New Roman"/>
          <w:color w:val="000000"/>
        </w:rPr>
        <w:t xml:space="preserve"> desenvolvidos para as operações de transporte de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bebidas;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Padronização da frota própria - fator gerador de poder de negociação com montadoras,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fabricantes de implementos e fornecedores de serviços de manutenção;</w:t>
      </w:r>
      <w:r w:rsidR="00AF1E48">
        <w:rPr>
          <w:rFonts w:cs="Times New Roman"/>
          <w:color w:val="000000"/>
        </w:rPr>
        <w:t xml:space="preserve"> 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SymbolMT"/>
          <w:color w:val="000000"/>
        </w:rPr>
        <w:t xml:space="preserve">• </w:t>
      </w:r>
      <w:r w:rsidRPr="005A530C">
        <w:rPr>
          <w:rFonts w:cs="Times New Roman"/>
          <w:color w:val="000000"/>
        </w:rPr>
        <w:t>Aumento da produtividade dos circuitos entre fábricas e centros de distribuição, com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ganhos de R$ 2,5 milhões em 2005.</w:t>
      </w:r>
    </w:p>
    <w:p w:rsidR="005A530C" w:rsidRP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5A530C">
        <w:rPr>
          <w:rFonts w:cs="Times New Roman"/>
          <w:color w:val="000000"/>
        </w:rPr>
        <w:t>Finalmente, a eficácia da estratégia de concentração/ centralização da distribuição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implantada pela AmBev é reforçada quando comparado o aumento dos seus custos de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transportes com os principais indicadores inflacionários. Enquanto, no período de 2002 a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2005, o IGPM variou 49,01 %, o IPCA, 39,87 % e o IPCA Óleo Diesel, 107,53 %, os</w:t>
      </w:r>
      <w:r w:rsidR="00AF1E48">
        <w:rPr>
          <w:rFonts w:cs="Times New Roman"/>
          <w:color w:val="000000"/>
        </w:rPr>
        <w:t xml:space="preserve"> </w:t>
      </w:r>
      <w:r w:rsidRPr="005A530C">
        <w:rPr>
          <w:rFonts w:cs="Times New Roman"/>
          <w:color w:val="000000"/>
        </w:rPr>
        <w:t>custos de transporte da companhia variaram 10,62%, muito abaixo de qualquer dos</w:t>
      </w:r>
    </w:p>
    <w:p w:rsidR="005A530C" w:rsidRDefault="005A530C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proofErr w:type="gramStart"/>
      <w:r w:rsidRPr="005A530C">
        <w:rPr>
          <w:rFonts w:cs="Times New Roman"/>
          <w:color w:val="000000"/>
        </w:rPr>
        <w:t>indicadores</w:t>
      </w:r>
      <w:proofErr w:type="gramEnd"/>
      <w:r w:rsidRPr="005A530C">
        <w:rPr>
          <w:rFonts w:cs="Times New Roman"/>
          <w:color w:val="000000"/>
        </w:rPr>
        <w:t>.</w:t>
      </w:r>
    </w:p>
    <w:p w:rsidR="00EA0E7B" w:rsidRDefault="00EA0E7B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EA0E7B" w:rsidRDefault="00CA63E1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1ª</w:t>
      </w:r>
      <w:r w:rsidR="00EA0E7B">
        <w:rPr>
          <w:rFonts w:cs="Times New Roman"/>
          <w:color w:val="000000"/>
        </w:rPr>
        <w:t xml:space="preserve"> </w:t>
      </w:r>
      <w:r w:rsidR="00E908CC">
        <w:rPr>
          <w:rFonts w:cs="Times New Roman"/>
          <w:color w:val="000000"/>
        </w:rPr>
        <w:t xml:space="preserve">(0,50 ponto) </w:t>
      </w:r>
      <w:r w:rsidR="00EA0E7B">
        <w:rPr>
          <w:rFonts w:cs="Times New Roman"/>
          <w:color w:val="000000"/>
        </w:rPr>
        <w:t>Listar os pontos que o Grupo considera relevantes nas mudanças realizadas?</w:t>
      </w:r>
    </w:p>
    <w:p w:rsidR="00CA63E1" w:rsidRDefault="00EA0E7B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2ª </w:t>
      </w:r>
      <w:r w:rsidR="00E908CC">
        <w:rPr>
          <w:rFonts w:cs="Times New Roman"/>
          <w:color w:val="000000"/>
        </w:rPr>
        <w:t xml:space="preserve">(0,50 ponto) </w:t>
      </w:r>
      <w:r>
        <w:rPr>
          <w:rFonts w:cs="Times New Roman"/>
          <w:color w:val="000000"/>
        </w:rPr>
        <w:t xml:space="preserve">Elaborar um </w:t>
      </w:r>
      <w:r w:rsidR="00CA63E1">
        <w:rPr>
          <w:rFonts w:cs="Times New Roman"/>
          <w:color w:val="000000"/>
        </w:rPr>
        <w:t>quadro</w:t>
      </w:r>
      <w:r>
        <w:rPr>
          <w:rFonts w:cs="Times New Roman"/>
          <w:color w:val="000000"/>
        </w:rPr>
        <w:t xml:space="preserve"> que</w:t>
      </w:r>
      <w:r w:rsidR="00CA63E1">
        <w:rPr>
          <w:rFonts w:cs="Times New Roman"/>
          <w:color w:val="000000"/>
        </w:rPr>
        <w:t xml:space="preserve"> apresente </w:t>
      </w:r>
      <w:r w:rsidR="00414BFC">
        <w:rPr>
          <w:rFonts w:cs="Times New Roman"/>
          <w:color w:val="000000"/>
        </w:rPr>
        <w:t xml:space="preserve">as ações realizadas </w:t>
      </w:r>
      <w:r w:rsidR="00CA63E1">
        <w:rPr>
          <w:rFonts w:cs="Times New Roman"/>
          <w:color w:val="000000"/>
        </w:rPr>
        <w:t xml:space="preserve">e </w:t>
      </w:r>
      <w:r w:rsidR="00414BFC">
        <w:rPr>
          <w:rFonts w:cs="Times New Roman"/>
          <w:color w:val="000000"/>
        </w:rPr>
        <w:t>os resultados obtidos</w:t>
      </w:r>
      <w:r w:rsidR="00CA63E1">
        <w:rPr>
          <w:rFonts w:cs="Times New Roman"/>
          <w:color w:val="000000"/>
        </w:rPr>
        <w:t xml:space="preserve"> na AMBEV.</w:t>
      </w:r>
    </w:p>
    <w:p w:rsidR="00EA0E7B" w:rsidRDefault="00CA63E1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3ª </w:t>
      </w:r>
      <w:r w:rsidR="00E908CC">
        <w:rPr>
          <w:rFonts w:cs="Times New Roman"/>
          <w:color w:val="000000"/>
        </w:rPr>
        <w:t>(1,0 ponto</w:t>
      </w:r>
      <w:proofErr w:type="gramStart"/>
      <w:r w:rsidR="00E908CC">
        <w:rPr>
          <w:rFonts w:cs="Times New Roman"/>
          <w:color w:val="000000"/>
        </w:rPr>
        <w:t xml:space="preserve"> )</w:t>
      </w:r>
      <w:proofErr w:type="gramEnd"/>
      <w:r w:rsidR="00E908CC">
        <w:rPr>
          <w:rFonts w:cs="Times New Roman"/>
          <w:color w:val="000000"/>
        </w:rPr>
        <w:t xml:space="preserve"> </w:t>
      </w:r>
      <w:r w:rsidR="00104C5E">
        <w:rPr>
          <w:rFonts w:cs="Times New Roman"/>
          <w:color w:val="000000"/>
        </w:rPr>
        <w:t xml:space="preserve">Relacione os capítulos </w:t>
      </w:r>
      <w:r w:rsidR="00E908CC">
        <w:rPr>
          <w:rFonts w:cs="Times New Roman"/>
          <w:color w:val="000000"/>
        </w:rPr>
        <w:t xml:space="preserve">/ partes </w:t>
      </w:r>
      <w:r w:rsidR="00104C5E">
        <w:rPr>
          <w:rFonts w:cs="Times New Roman"/>
          <w:color w:val="000000"/>
        </w:rPr>
        <w:t>do PLT até agora estudas com o estudo de caso da AMBEV</w:t>
      </w:r>
    </w:p>
    <w:p w:rsidR="00104C5E" w:rsidRDefault="00104C5E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C14C76" w:rsidRPr="00E908CC" w:rsidRDefault="00C14C76" w:rsidP="00C14C7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</w:rPr>
      </w:pPr>
      <w:r w:rsidRPr="00E908CC">
        <w:rPr>
          <w:rFonts w:cs="Times New Roman"/>
          <w:b/>
          <w:color w:val="000000"/>
        </w:rPr>
        <w:t xml:space="preserve">A atividade III </w:t>
      </w:r>
      <w:r w:rsidR="00E908CC" w:rsidRPr="00E908CC">
        <w:rPr>
          <w:rFonts w:cs="Times New Roman"/>
          <w:b/>
          <w:color w:val="000000"/>
        </w:rPr>
        <w:t>– Parte A = 2</w:t>
      </w:r>
      <w:r w:rsidRPr="00E908CC">
        <w:rPr>
          <w:rFonts w:cs="Times New Roman"/>
          <w:b/>
          <w:color w:val="000000"/>
        </w:rPr>
        <w:t xml:space="preserve">,00 pontos </w:t>
      </w:r>
    </w:p>
    <w:p w:rsidR="00FE3577" w:rsidRDefault="00FE3577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C14C76" w:rsidRDefault="00C14C76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C14C76" w:rsidRDefault="00C14C76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C14C76" w:rsidRDefault="00C14C76" w:rsidP="005A53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sectPr w:rsidR="00C14C76" w:rsidSect="002908F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compat/>
  <w:rsids>
    <w:rsidRoot w:val="005A530C"/>
    <w:rsid w:val="00042F56"/>
    <w:rsid w:val="00104C5E"/>
    <w:rsid w:val="00146C59"/>
    <w:rsid w:val="00153937"/>
    <w:rsid w:val="002908F2"/>
    <w:rsid w:val="0029092C"/>
    <w:rsid w:val="00344F6D"/>
    <w:rsid w:val="00360E91"/>
    <w:rsid w:val="003D20C6"/>
    <w:rsid w:val="00414BFC"/>
    <w:rsid w:val="00471B01"/>
    <w:rsid w:val="005A530C"/>
    <w:rsid w:val="007555D9"/>
    <w:rsid w:val="007E7E6C"/>
    <w:rsid w:val="007F1D0A"/>
    <w:rsid w:val="00853337"/>
    <w:rsid w:val="008928B9"/>
    <w:rsid w:val="008A28F7"/>
    <w:rsid w:val="009D2CB4"/>
    <w:rsid w:val="009E57B5"/>
    <w:rsid w:val="00A208AD"/>
    <w:rsid w:val="00A66636"/>
    <w:rsid w:val="00AC5C74"/>
    <w:rsid w:val="00AF1E48"/>
    <w:rsid w:val="00B7566B"/>
    <w:rsid w:val="00BA64CB"/>
    <w:rsid w:val="00C03730"/>
    <w:rsid w:val="00C14C76"/>
    <w:rsid w:val="00CA3F59"/>
    <w:rsid w:val="00CA63E1"/>
    <w:rsid w:val="00D04C67"/>
    <w:rsid w:val="00D14568"/>
    <w:rsid w:val="00D82C13"/>
    <w:rsid w:val="00DA5C56"/>
    <w:rsid w:val="00DE38DD"/>
    <w:rsid w:val="00DF41CA"/>
    <w:rsid w:val="00E908CC"/>
    <w:rsid w:val="00E9121E"/>
    <w:rsid w:val="00EA0E7B"/>
    <w:rsid w:val="00EA4A00"/>
    <w:rsid w:val="00ED4A11"/>
    <w:rsid w:val="00F3625E"/>
    <w:rsid w:val="00FC55BE"/>
    <w:rsid w:val="00FE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F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C5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9121E"/>
  </w:style>
  <w:style w:type="character" w:styleId="Hyperlink">
    <w:name w:val="Hyperlink"/>
    <w:basedOn w:val="Fontepargpadro"/>
    <w:uiPriority w:val="99"/>
    <w:semiHidden/>
    <w:unhideWhenUsed/>
    <w:rsid w:val="00E912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.coppe.ufrj.br/index.php/producao/dissertacoes-de-msc/doc_download/38-centralizacao-da-distribuicao-e-custos-de-transporte-estudo-de-caso-ambev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3719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paulo.cesar</dc:creator>
  <cp:keywords/>
  <dc:description/>
  <cp:lastModifiedBy>paulo.cesar</cp:lastModifiedBy>
  <cp:revision>24</cp:revision>
  <cp:lastPrinted>2014-09-26T20:40:00Z</cp:lastPrinted>
  <dcterms:created xsi:type="dcterms:W3CDTF">2014-09-24T20:00:00Z</dcterms:created>
  <dcterms:modified xsi:type="dcterms:W3CDTF">2014-09-27T20:09:00Z</dcterms:modified>
</cp:coreProperties>
</file>